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521C" w14:textId="77777777" w:rsidR="0094710E" w:rsidRPr="001B6BBC" w:rsidRDefault="0094710E" w:rsidP="0094710E">
      <w:pPr>
        <w:pStyle w:val="Heading3"/>
        <w:rPr>
          <w:sz w:val="23"/>
          <w:szCs w:val="23"/>
        </w:rPr>
      </w:pPr>
      <w:r w:rsidRPr="001B6BBC">
        <w:rPr>
          <w:sz w:val="23"/>
          <w:szCs w:val="23"/>
        </w:rPr>
        <w:t>Curriculum Vitae</w:t>
      </w:r>
    </w:p>
    <w:p w14:paraId="6A40C1A1" w14:textId="77777777" w:rsidR="0094710E" w:rsidRPr="001B6BBC" w:rsidRDefault="0094710E" w:rsidP="0094710E">
      <w:pPr>
        <w:pStyle w:val="Header"/>
        <w:tabs>
          <w:tab w:val="clear" w:pos="4536"/>
          <w:tab w:val="clear" w:pos="9072"/>
        </w:tabs>
        <w:rPr>
          <w:sz w:val="23"/>
          <w:szCs w:val="23"/>
          <w:lang w:val="en-US"/>
        </w:rPr>
      </w:pPr>
    </w:p>
    <w:p w14:paraId="515125F0" w14:textId="5D3A4C8F" w:rsidR="0094710E" w:rsidRPr="001B6BBC" w:rsidRDefault="0094710E" w:rsidP="0094710E">
      <w:pPr>
        <w:tabs>
          <w:tab w:val="left" w:pos="2268"/>
          <w:tab w:val="left" w:pos="9852"/>
        </w:tabs>
        <w:spacing w:before="120"/>
        <w:jc w:val="left"/>
        <w:rPr>
          <w:sz w:val="23"/>
          <w:szCs w:val="23"/>
          <w:lang w:val="en-US"/>
        </w:rPr>
      </w:pPr>
      <w:r w:rsidRPr="001B6BBC">
        <w:rPr>
          <w:sz w:val="23"/>
          <w:szCs w:val="23"/>
          <w:lang w:val="en-US"/>
        </w:rPr>
        <w:t>Name:</w:t>
      </w:r>
      <w:r w:rsidRPr="001B6BBC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Juliana MINETTO GELLERT PARIS</w:t>
      </w:r>
    </w:p>
    <w:p w14:paraId="312949F8" w14:textId="61F2AF0A" w:rsidR="0094710E" w:rsidRPr="001B6BBC" w:rsidRDefault="0094710E" w:rsidP="0094710E">
      <w:pPr>
        <w:pStyle w:val="BodyTextIndent"/>
        <w:tabs>
          <w:tab w:val="left" w:pos="2268"/>
        </w:tabs>
        <w:ind w:left="2268" w:hanging="2268"/>
        <w:jc w:val="left"/>
        <w:rPr>
          <w:sz w:val="23"/>
          <w:szCs w:val="23"/>
        </w:rPr>
      </w:pPr>
      <w:r w:rsidRPr="001B6BBC">
        <w:rPr>
          <w:sz w:val="23"/>
          <w:szCs w:val="23"/>
        </w:rPr>
        <w:t>Official Address:</w:t>
      </w:r>
      <w:r w:rsidRPr="001B6BBC">
        <w:rPr>
          <w:sz w:val="23"/>
          <w:szCs w:val="23"/>
        </w:rPr>
        <w:tab/>
        <w:t xml:space="preserve">Center for Development Research (ZEF), University of Bonn, </w:t>
      </w:r>
      <w:proofErr w:type="spellStart"/>
      <w:r w:rsidRPr="001B6BBC">
        <w:rPr>
          <w:sz w:val="23"/>
          <w:szCs w:val="23"/>
        </w:rPr>
        <w:t>Genscherallee</w:t>
      </w:r>
      <w:proofErr w:type="spellEnd"/>
      <w:r w:rsidRPr="001B6BBC">
        <w:rPr>
          <w:sz w:val="23"/>
          <w:szCs w:val="23"/>
        </w:rPr>
        <w:t xml:space="preserve"> 3, 53113 Bonn, Germany, Tel.: +49</w:t>
      </w:r>
      <w:r>
        <w:rPr>
          <w:sz w:val="23"/>
          <w:szCs w:val="23"/>
        </w:rPr>
        <w:t>(0)15905133950</w:t>
      </w:r>
      <w:r w:rsidRPr="001B6BBC">
        <w:rPr>
          <w:sz w:val="23"/>
          <w:szCs w:val="23"/>
        </w:rPr>
        <w:t>,</w:t>
      </w:r>
      <w:r w:rsidRPr="001B6BBC">
        <w:rPr>
          <w:sz w:val="23"/>
          <w:szCs w:val="23"/>
        </w:rPr>
        <w:br/>
        <w:t xml:space="preserve">Email: </w:t>
      </w:r>
      <w:r>
        <w:rPr>
          <w:sz w:val="23"/>
          <w:szCs w:val="23"/>
        </w:rPr>
        <w:t>jminetto</w:t>
      </w:r>
      <w:r w:rsidRPr="001B6BBC">
        <w:rPr>
          <w:sz w:val="23"/>
          <w:szCs w:val="23"/>
        </w:rPr>
        <w:t>@uni-bonn.de</w:t>
      </w:r>
    </w:p>
    <w:p w14:paraId="18078A82" w14:textId="77777777" w:rsidR="0094710E" w:rsidRPr="001B6BBC" w:rsidRDefault="0094710E" w:rsidP="0094710E">
      <w:pPr>
        <w:pStyle w:val="Tabelle"/>
        <w:keepNext w:val="0"/>
        <w:pBdr>
          <w:bottom w:val="single" w:sz="12" w:space="1" w:color="auto"/>
        </w:pBdr>
        <w:tabs>
          <w:tab w:val="left" w:pos="2835"/>
          <w:tab w:val="left" w:pos="9852"/>
        </w:tabs>
        <w:spacing w:before="0" w:after="0"/>
        <w:rPr>
          <w:sz w:val="23"/>
          <w:szCs w:val="23"/>
          <w:lang w:val="en-US"/>
        </w:rPr>
      </w:pPr>
    </w:p>
    <w:p w14:paraId="745967C7" w14:textId="77777777" w:rsidR="0094710E" w:rsidRPr="001B6BBC" w:rsidRDefault="0094710E" w:rsidP="0094710E">
      <w:pPr>
        <w:pStyle w:val="Heading4"/>
        <w:spacing w:after="120"/>
        <w:rPr>
          <w:sz w:val="23"/>
          <w:szCs w:val="23"/>
        </w:rPr>
      </w:pPr>
      <w:r w:rsidRPr="001B6BBC">
        <w:rPr>
          <w:sz w:val="23"/>
          <w:szCs w:val="23"/>
        </w:rPr>
        <w:t>Professional Positions</w:t>
      </w:r>
    </w:p>
    <w:p w14:paraId="24EF333B" w14:textId="517D2691" w:rsidR="0094710E" w:rsidRPr="001B6BBC" w:rsidRDefault="00D44D94" w:rsidP="0094710E">
      <w:pPr>
        <w:pStyle w:val="BodyTextIndent2"/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11/2022 - Current</w:t>
      </w:r>
      <w:r w:rsidR="0094710E" w:rsidRPr="001B6BBC">
        <w:rPr>
          <w:sz w:val="23"/>
          <w:szCs w:val="23"/>
        </w:rPr>
        <w:tab/>
      </w:r>
      <w:r>
        <w:rPr>
          <w:sz w:val="23"/>
          <w:szCs w:val="23"/>
        </w:rPr>
        <w:t>Research Associate</w:t>
      </w:r>
      <w:r w:rsidR="0094710E" w:rsidRPr="001B6BBC">
        <w:rPr>
          <w:sz w:val="23"/>
          <w:szCs w:val="23"/>
        </w:rPr>
        <w:t>, Center for Development Research (ZEF), University of Bonn</w:t>
      </w:r>
      <w:r>
        <w:rPr>
          <w:sz w:val="23"/>
          <w:szCs w:val="23"/>
        </w:rPr>
        <w:t>, Germany</w:t>
      </w:r>
    </w:p>
    <w:p w14:paraId="078D34AE" w14:textId="42FF43C5" w:rsidR="0094710E" w:rsidRPr="001B6BBC" w:rsidRDefault="00D44D94" w:rsidP="0094710E">
      <w:pPr>
        <w:pStyle w:val="BodyTextIndent2"/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03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22</w:t>
      </w:r>
      <w:r w:rsidR="0094710E" w:rsidRPr="001B6BBC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22</w:t>
      </w:r>
      <w:r w:rsidR="0094710E" w:rsidRPr="001B6BBC">
        <w:rPr>
          <w:sz w:val="23"/>
          <w:szCs w:val="23"/>
        </w:rPr>
        <w:tab/>
      </w:r>
      <w:r>
        <w:rPr>
          <w:sz w:val="23"/>
          <w:szCs w:val="23"/>
        </w:rPr>
        <w:t>Student Assistant, Fairtrade International, Bonn, Germany</w:t>
      </w:r>
    </w:p>
    <w:p w14:paraId="4F2AAD4F" w14:textId="742D313C" w:rsidR="0094710E" w:rsidRPr="001B6BBC" w:rsidRDefault="00D44D94" w:rsidP="0094710E">
      <w:pPr>
        <w:pStyle w:val="BodyTextIndent2"/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07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17</w:t>
      </w:r>
      <w:r w:rsidR="0094710E" w:rsidRPr="001B6BBC">
        <w:rPr>
          <w:sz w:val="23"/>
          <w:szCs w:val="23"/>
        </w:rPr>
        <w:t>-</w:t>
      </w:r>
      <w:r>
        <w:rPr>
          <w:sz w:val="23"/>
          <w:szCs w:val="23"/>
        </w:rPr>
        <w:t>12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21</w:t>
      </w:r>
      <w:r w:rsidR="0094710E" w:rsidRPr="001B6BBC">
        <w:rPr>
          <w:sz w:val="23"/>
          <w:szCs w:val="23"/>
        </w:rPr>
        <w:tab/>
      </w:r>
      <w:r w:rsidRPr="001B6BBC">
        <w:rPr>
          <w:sz w:val="23"/>
          <w:szCs w:val="23"/>
        </w:rPr>
        <w:t>Junior Researcher, Center for Development Research (ZEF), University of Bonn</w:t>
      </w:r>
    </w:p>
    <w:p w14:paraId="33478F16" w14:textId="4E257CAE" w:rsidR="0094710E" w:rsidRPr="001B6BBC" w:rsidRDefault="00D44D94" w:rsidP="0094710E">
      <w:pPr>
        <w:pStyle w:val="BodyTextIndent2"/>
        <w:tabs>
          <w:tab w:val="clear" w:pos="2835"/>
        </w:tabs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09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16</w:t>
      </w:r>
      <w:r w:rsidR="0094710E" w:rsidRPr="001B6BBC">
        <w:rPr>
          <w:sz w:val="23"/>
          <w:szCs w:val="23"/>
        </w:rPr>
        <w:t>-</w:t>
      </w:r>
      <w:r>
        <w:rPr>
          <w:sz w:val="23"/>
          <w:szCs w:val="23"/>
        </w:rPr>
        <w:t>02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17</w:t>
      </w:r>
      <w:r w:rsidR="0094710E" w:rsidRPr="001B6BBC">
        <w:rPr>
          <w:sz w:val="23"/>
          <w:szCs w:val="23"/>
        </w:rPr>
        <w:tab/>
      </w:r>
      <w:r>
        <w:rPr>
          <w:sz w:val="23"/>
          <w:szCs w:val="23"/>
        </w:rPr>
        <w:t>Assistant Professor, TH Köln, Cologne, Germany</w:t>
      </w:r>
    </w:p>
    <w:p w14:paraId="5B48FB3C" w14:textId="4FA9694D" w:rsidR="0094710E" w:rsidRPr="001B6BBC" w:rsidRDefault="00D44D94" w:rsidP="0094710E">
      <w:pPr>
        <w:pStyle w:val="BodyTextIndent2"/>
        <w:tabs>
          <w:tab w:val="clear" w:pos="2835"/>
        </w:tabs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10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15</w:t>
      </w:r>
      <w:r w:rsidR="0094710E" w:rsidRPr="001B6BBC">
        <w:rPr>
          <w:sz w:val="23"/>
          <w:szCs w:val="23"/>
        </w:rPr>
        <w:t>-</w:t>
      </w:r>
      <w:r>
        <w:rPr>
          <w:sz w:val="23"/>
          <w:szCs w:val="23"/>
        </w:rPr>
        <w:t>12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15</w:t>
      </w:r>
      <w:r w:rsidR="0094710E" w:rsidRPr="001B6BBC">
        <w:rPr>
          <w:sz w:val="23"/>
          <w:szCs w:val="23"/>
        </w:rPr>
        <w:tab/>
      </w:r>
      <w:r>
        <w:rPr>
          <w:sz w:val="23"/>
          <w:szCs w:val="23"/>
        </w:rPr>
        <w:t xml:space="preserve">Internship, </w:t>
      </w:r>
      <w:r w:rsidRPr="00D44D94">
        <w:rPr>
          <w:sz w:val="23"/>
          <w:szCs w:val="23"/>
        </w:rPr>
        <w:t>UNFCCC Regional Collaboration Centre (RCC)</w:t>
      </w:r>
      <w:r>
        <w:rPr>
          <w:sz w:val="23"/>
          <w:szCs w:val="23"/>
        </w:rPr>
        <w:t>, Saint George’s, Grenada</w:t>
      </w:r>
    </w:p>
    <w:p w14:paraId="19DB0823" w14:textId="5F815F6D" w:rsidR="0094710E" w:rsidRPr="001B6BBC" w:rsidRDefault="00D44D94" w:rsidP="0094710E">
      <w:pPr>
        <w:pStyle w:val="BodyTextIndent2"/>
        <w:tabs>
          <w:tab w:val="clear" w:pos="2835"/>
        </w:tabs>
        <w:spacing w:before="60" w:after="0"/>
        <w:ind w:left="2268" w:hanging="2268"/>
        <w:rPr>
          <w:sz w:val="23"/>
          <w:szCs w:val="23"/>
        </w:rPr>
      </w:pPr>
      <w:r>
        <w:rPr>
          <w:sz w:val="23"/>
          <w:szCs w:val="23"/>
        </w:rPr>
        <w:t>02</w:t>
      </w:r>
      <w:r w:rsidR="0094710E" w:rsidRPr="001B6BBC">
        <w:rPr>
          <w:sz w:val="23"/>
          <w:szCs w:val="23"/>
        </w:rPr>
        <w:t>/</w:t>
      </w:r>
      <w:r>
        <w:rPr>
          <w:sz w:val="23"/>
          <w:szCs w:val="23"/>
        </w:rPr>
        <w:t>2010</w:t>
      </w:r>
      <w:r w:rsidR="0094710E" w:rsidRPr="001B6BBC">
        <w:rPr>
          <w:sz w:val="23"/>
          <w:szCs w:val="23"/>
        </w:rPr>
        <w:t>-</w:t>
      </w:r>
      <w:r>
        <w:rPr>
          <w:sz w:val="23"/>
          <w:szCs w:val="23"/>
        </w:rPr>
        <w:t>05</w:t>
      </w:r>
      <w:r w:rsidR="0094710E" w:rsidRPr="001B6BBC">
        <w:rPr>
          <w:sz w:val="23"/>
          <w:szCs w:val="23"/>
        </w:rPr>
        <w:t>/20</w:t>
      </w:r>
      <w:r>
        <w:rPr>
          <w:sz w:val="23"/>
          <w:szCs w:val="23"/>
        </w:rPr>
        <w:t>11</w:t>
      </w:r>
      <w:r w:rsidR="0094710E" w:rsidRPr="001B6BBC">
        <w:rPr>
          <w:sz w:val="23"/>
          <w:szCs w:val="23"/>
        </w:rPr>
        <w:tab/>
      </w:r>
      <w:r>
        <w:rPr>
          <w:sz w:val="23"/>
          <w:szCs w:val="23"/>
        </w:rPr>
        <w:t>Food Service Manager, Samsara, Santo André, Brazil</w:t>
      </w:r>
    </w:p>
    <w:p w14:paraId="16D05FAC" w14:textId="77777777" w:rsidR="0094710E" w:rsidRPr="001B6BBC" w:rsidRDefault="0094710E" w:rsidP="0094710E">
      <w:pPr>
        <w:pStyle w:val="Tabelle"/>
        <w:keepNext w:val="0"/>
        <w:tabs>
          <w:tab w:val="left" w:pos="2835"/>
          <w:tab w:val="left" w:pos="9852"/>
        </w:tabs>
        <w:spacing w:before="240" w:after="120"/>
        <w:rPr>
          <w:b/>
          <w:bCs/>
          <w:sz w:val="23"/>
          <w:szCs w:val="23"/>
          <w:lang w:val="en-US"/>
        </w:rPr>
      </w:pPr>
      <w:r w:rsidRPr="001B6BBC">
        <w:rPr>
          <w:b/>
          <w:bCs/>
          <w:sz w:val="23"/>
          <w:szCs w:val="23"/>
          <w:lang w:val="en-US"/>
        </w:rPr>
        <w:t>Education and Academic Degrees</w:t>
      </w:r>
    </w:p>
    <w:p w14:paraId="4E413928" w14:textId="3DDD40CA" w:rsidR="0094710E" w:rsidRPr="001B6BBC" w:rsidRDefault="00D44D94" w:rsidP="0094710E">
      <w:pPr>
        <w:pStyle w:val="BodyTextIndent"/>
        <w:ind w:left="1560" w:hanging="1560"/>
        <w:rPr>
          <w:sz w:val="23"/>
          <w:szCs w:val="23"/>
        </w:rPr>
      </w:pPr>
      <w:r>
        <w:rPr>
          <w:sz w:val="23"/>
          <w:szCs w:val="23"/>
        </w:rPr>
        <w:t>04/2024</w:t>
      </w:r>
      <w:r w:rsidR="0094710E" w:rsidRPr="001B6BBC">
        <w:rPr>
          <w:sz w:val="23"/>
          <w:szCs w:val="23"/>
        </w:rPr>
        <w:tab/>
        <w:t xml:space="preserve">Doctoral Degree, </w:t>
      </w:r>
      <w:r>
        <w:rPr>
          <w:sz w:val="23"/>
          <w:szCs w:val="23"/>
        </w:rPr>
        <w:t>Nutrition</w:t>
      </w:r>
      <w:r w:rsidR="0094710E" w:rsidRPr="001B6BBC">
        <w:rPr>
          <w:sz w:val="23"/>
          <w:szCs w:val="23"/>
        </w:rPr>
        <w:t>, University of Bonn</w:t>
      </w:r>
    </w:p>
    <w:p w14:paraId="373A8055" w14:textId="59778048" w:rsidR="0094710E" w:rsidRDefault="00D44D94" w:rsidP="0094710E">
      <w:pPr>
        <w:pStyle w:val="BodyTextIndent"/>
        <w:ind w:left="1560" w:hanging="1560"/>
        <w:rPr>
          <w:sz w:val="23"/>
          <w:szCs w:val="23"/>
        </w:rPr>
      </w:pPr>
      <w:r>
        <w:rPr>
          <w:sz w:val="23"/>
          <w:szCs w:val="23"/>
        </w:rPr>
        <w:t>02/2016</w:t>
      </w:r>
      <w:r>
        <w:rPr>
          <w:sz w:val="23"/>
          <w:szCs w:val="23"/>
        </w:rPr>
        <w:tab/>
        <w:t>Master of Science, Technology and Resource Management in the Tropics, TH-Köln</w:t>
      </w:r>
    </w:p>
    <w:p w14:paraId="6DA2A960" w14:textId="64EF5429" w:rsidR="00D44D94" w:rsidRPr="001B6BBC" w:rsidRDefault="00D44D94" w:rsidP="00D44D94">
      <w:pPr>
        <w:pStyle w:val="BodyTextIndent"/>
        <w:ind w:left="1560" w:hanging="1560"/>
        <w:rPr>
          <w:sz w:val="23"/>
          <w:szCs w:val="23"/>
        </w:rPr>
      </w:pPr>
      <w:r>
        <w:rPr>
          <w:sz w:val="23"/>
          <w:szCs w:val="23"/>
        </w:rPr>
        <w:t>08/2009</w:t>
      </w:r>
      <w:r>
        <w:rPr>
          <w:sz w:val="23"/>
          <w:szCs w:val="23"/>
        </w:rPr>
        <w:tab/>
        <w:t>Bachelor, Food Science, University of São Paulo, Brazil</w:t>
      </w:r>
    </w:p>
    <w:p w14:paraId="289EC2C4" w14:textId="77777777" w:rsidR="00D44D94" w:rsidRPr="001B6BBC" w:rsidRDefault="00D44D94" w:rsidP="00C54CE3">
      <w:pPr>
        <w:pStyle w:val="BodyTextIndent"/>
        <w:rPr>
          <w:sz w:val="23"/>
          <w:szCs w:val="23"/>
        </w:rPr>
      </w:pPr>
    </w:p>
    <w:p w14:paraId="5A5A1DAF" w14:textId="77777777" w:rsidR="0094710E" w:rsidRPr="001B6BBC" w:rsidRDefault="0094710E" w:rsidP="00C54CE3">
      <w:pPr>
        <w:pStyle w:val="BodyTextIndent"/>
        <w:spacing w:before="240" w:after="120"/>
        <w:ind w:left="0" w:firstLine="0"/>
        <w:rPr>
          <w:b/>
          <w:sz w:val="23"/>
          <w:szCs w:val="23"/>
        </w:rPr>
      </w:pPr>
      <w:r w:rsidRPr="001B6BBC">
        <w:rPr>
          <w:b/>
          <w:sz w:val="23"/>
          <w:szCs w:val="23"/>
        </w:rPr>
        <w:t>Main Research Areas</w:t>
      </w:r>
    </w:p>
    <w:p w14:paraId="4E31B67D" w14:textId="5C497306" w:rsidR="0094710E" w:rsidRPr="001B6BBC" w:rsidRDefault="00D44D94" w:rsidP="0094710E">
      <w:pPr>
        <w:spacing w:before="60"/>
        <w:jc w:val="lef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Sustainability Assessment,</w:t>
      </w:r>
      <w:r w:rsidR="00C54CE3">
        <w:rPr>
          <w:sz w:val="23"/>
          <w:szCs w:val="23"/>
          <w:lang w:val="en-US"/>
        </w:rPr>
        <w:t xml:space="preserve"> Life Cycle Assessment,</w:t>
      </w:r>
      <w:r>
        <w:rPr>
          <w:sz w:val="23"/>
          <w:szCs w:val="23"/>
          <w:lang w:val="en-US"/>
        </w:rPr>
        <w:t xml:space="preserve"> One Health, Human Health &amp; Nutrition, Animal Welfare, </w:t>
      </w:r>
      <w:r w:rsidR="00C54CE3">
        <w:rPr>
          <w:sz w:val="23"/>
          <w:szCs w:val="23"/>
          <w:lang w:val="en-US"/>
        </w:rPr>
        <w:t>Ecology and Resource Management</w:t>
      </w:r>
      <w:r>
        <w:rPr>
          <w:sz w:val="23"/>
          <w:szCs w:val="23"/>
          <w:lang w:val="en-US"/>
        </w:rPr>
        <w:t>, Food Science, Value Chains, Agriculture</w:t>
      </w:r>
      <w:r w:rsidR="00C54CE3">
        <w:rPr>
          <w:sz w:val="23"/>
          <w:szCs w:val="23"/>
          <w:lang w:val="en-US"/>
        </w:rPr>
        <w:t>, Food Systems</w:t>
      </w:r>
    </w:p>
    <w:p w14:paraId="6432B32C" w14:textId="77777777" w:rsidR="0094710E" w:rsidRPr="001B6BBC" w:rsidRDefault="0094710E" w:rsidP="0094710E">
      <w:pPr>
        <w:keepNext/>
        <w:spacing w:before="240" w:after="120"/>
        <w:jc w:val="left"/>
        <w:rPr>
          <w:b/>
          <w:bCs/>
          <w:sz w:val="23"/>
          <w:szCs w:val="23"/>
          <w:lang w:val="en-US"/>
        </w:rPr>
      </w:pPr>
      <w:r w:rsidRPr="001B6BBC">
        <w:rPr>
          <w:b/>
          <w:bCs/>
          <w:sz w:val="23"/>
          <w:szCs w:val="23"/>
          <w:lang w:val="en-US"/>
        </w:rPr>
        <w:t>Country and/or Project Experience</w:t>
      </w:r>
    </w:p>
    <w:p w14:paraId="0810900E" w14:textId="2DE837D7" w:rsidR="0094710E" w:rsidRPr="001B6BBC" w:rsidRDefault="00C54CE3" w:rsidP="0094710E">
      <w:pPr>
        <w:spacing w:before="60"/>
        <w:jc w:val="lef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Fieldwork and project experience in Brazil, Germany, Ghana and India.</w:t>
      </w:r>
    </w:p>
    <w:p w14:paraId="3F47E11C" w14:textId="77777777" w:rsidR="0094710E" w:rsidRPr="001B6BBC" w:rsidRDefault="0094710E" w:rsidP="0094710E">
      <w:pPr>
        <w:spacing w:before="240" w:after="120"/>
        <w:jc w:val="left"/>
        <w:rPr>
          <w:b/>
          <w:sz w:val="23"/>
          <w:szCs w:val="23"/>
          <w:lang w:val="en-US"/>
        </w:rPr>
      </w:pPr>
      <w:r w:rsidRPr="001B6BBC">
        <w:rPr>
          <w:b/>
          <w:sz w:val="23"/>
          <w:szCs w:val="23"/>
          <w:lang w:val="en-US"/>
        </w:rPr>
        <w:t>Selected Publications</w:t>
      </w:r>
    </w:p>
    <w:p w14:paraId="273672D9" w14:textId="13CF72BB" w:rsidR="00F41CF4" w:rsidRDefault="00F41CF4" w:rsidP="00F41CF4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C54CE3">
        <w:rPr>
          <w:rFonts w:eastAsia="Century Gothic"/>
          <w:b/>
          <w:sz w:val="23"/>
          <w:szCs w:val="23"/>
        </w:rPr>
        <w:t>Paris, J. M. G.</w:t>
      </w:r>
      <w:r w:rsidRPr="00C54CE3">
        <w:rPr>
          <w:rFonts w:eastAsia="Century Gothic"/>
          <w:sz w:val="23"/>
          <w:szCs w:val="23"/>
        </w:rPr>
        <w:t>, Escobar, N</w:t>
      </w:r>
      <w:r>
        <w:rPr>
          <w:rFonts w:eastAsia="Century Gothic"/>
          <w:sz w:val="23"/>
          <w:szCs w:val="23"/>
        </w:rPr>
        <w:t xml:space="preserve">., </w:t>
      </w:r>
      <w:r w:rsidRPr="00C54CE3">
        <w:rPr>
          <w:rFonts w:eastAsia="Century Gothic"/>
          <w:sz w:val="23"/>
          <w:szCs w:val="23"/>
        </w:rPr>
        <w:t xml:space="preserve">Falkenberg, T., </w:t>
      </w:r>
      <w:r>
        <w:rPr>
          <w:rFonts w:eastAsia="Century Gothic"/>
          <w:sz w:val="23"/>
          <w:szCs w:val="23"/>
        </w:rPr>
        <w:t xml:space="preserve">Gupta, S., </w:t>
      </w:r>
      <w:r w:rsidRPr="00C54CE3">
        <w:rPr>
          <w:rFonts w:eastAsia="Century Gothic"/>
          <w:sz w:val="23"/>
          <w:szCs w:val="23"/>
        </w:rPr>
        <w:t xml:space="preserve">Heinzel, C., </w:t>
      </w:r>
      <w:proofErr w:type="spellStart"/>
      <w:r>
        <w:rPr>
          <w:rFonts w:eastAsia="Century Gothic"/>
          <w:sz w:val="23"/>
          <w:szCs w:val="23"/>
        </w:rPr>
        <w:t>Verly</w:t>
      </w:r>
      <w:proofErr w:type="spellEnd"/>
      <w:r>
        <w:rPr>
          <w:rFonts w:eastAsia="Century Gothic"/>
          <w:sz w:val="23"/>
          <w:szCs w:val="23"/>
        </w:rPr>
        <w:t xml:space="preserve"> Junior, E., Jolliet, O., </w:t>
      </w:r>
      <w:r w:rsidRPr="00C54CE3">
        <w:rPr>
          <w:rFonts w:eastAsia="Century Gothic"/>
          <w:sz w:val="23"/>
          <w:szCs w:val="23"/>
        </w:rPr>
        <w:t>Borgemeister, C., &amp; Nöthlings, U</w:t>
      </w:r>
      <w:r>
        <w:rPr>
          <w:rFonts w:eastAsia="Century Gothic"/>
          <w:sz w:val="23"/>
          <w:szCs w:val="23"/>
        </w:rPr>
        <w:t xml:space="preserve">. (2024). </w:t>
      </w:r>
      <w:proofErr w:type="spellStart"/>
      <w:r w:rsidRPr="00F41CF4">
        <w:rPr>
          <w:rFonts w:eastAsia="Century Gothic"/>
          <w:sz w:val="23"/>
          <w:szCs w:val="23"/>
        </w:rPr>
        <w:t>Optimised</w:t>
      </w:r>
      <w:proofErr w:type="spellEnd"/>
      <w:r w:rsidRPr="00F41CF4">
        <w:rPr>
          <w:rFonts w:eastAsia="Century Gothic"/>
          <w:sz w:val="23"/>
          <w:szCs w:val="23"/>
        </w:rPr>
        <w:t xml:space="preserve"> diets for achieving One Health: A pilot study in the Rhine-Ruhr Metropolis in Germany</w:t>
      </w:r>
      <w:r>
        <w:rPr>
          <w:rFonts w:eastAsia="Century Gothic"/>
          <w:sz w:val="23"/>
          <w:szCs w:val="23"/>
        </w:rPr>
        <w:t xml:space="preserve">. </w:t>
      </w:r>
      <w:r w:rsidRPr="00F41CF4">
        <w:rPr>
          <w:rFonts w:eastAsia="Century Gothic"/>
          <w:i/>
          <w:sz w:val="23"/>
          <w:szCs w:val="23"/>
        </w:rPr>
        <w:t>Environmental Impact Assessment Review,</w:t>
      </w:r>
      <w:r w:rsidRPr="00F41CF4">
        <w:rPr>
          <w:rFonts w:eastAsia="Century Gothic"/>
          <w:i/>
          <w:sz w:val="23"/>
          <w:szCs w:val="23"/>
        </w:rPr>
        <w:t xml:space="preserve"> 106</w:t>
      </w:r>
      <w:r>
        <w:rPr>
          <w:rFonts w:eastAsia="Century Gothic"/>
          <w:sz w:val="23"/>
          <w:szCs w:val="23"/>
        </w:rPr>
        <w:t xml:space="preserve">. </w:t>
      </w:r>
      <w:hyperlink r:id="rId7" w:history="1">
        <w:r w:rsidRPr="0079616F">
          <w:rPr>
            <w:rStyle w:val="Hyperlink"/>
            <w:rFonts w:eastAsia="Century Gothic"/>
            <w:sz w:val="23"/>
            <w:szCs w:val="23"/>
          </w:rPr>
          <w:t>https://doi.org/10.1016/j.eiar.2024.107529</w:t>
        </w:r>
      </w:hyperlink>
      <w:r w:rsidRPr="00F41CF4">
        <w:rPr>
          <w:rFonts w:eastAsia="Century Gothic"/>
          <w:sz w:val="23"/>
          <w:szCs w:val="23"/>
        </w:rPr>
        <w:t>.</w:t>
      </w:r>
    </w:p>
    <w:p w14:paraId="3F8CD632" w14:textId="7D0D32A0" w:rsidR="00F41CF4" w:rsidRPr="00F41CF4" w:rsidRDefault="00F41CF4" w:rsidP="00F41CF4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F41CF4">
        <w:rPr>
          <w:rFonts w:eastAsia="Century Gothic"/>
          <w:sz w:val="23"/>
          <w:szCs w:val="23"/>
        </w:rPr>
        <w:t>van de Locht,</w:t>
      </w:r>
      <w:r>
        <w:rPr>
          <w:rFonts w:eastAsia="Century Gothic"/>
          <w:sz w:val="23"/>
          <w:szCs w:val="23"/>
        </w:rPr>
        <w:t xml:space="preserve"> K.,</w:t>
      </w:r>
      <w:r w:rsidRPr="00F41CF4">
        <w:rPr>
          <w:rFonts w:eastAsia="Century Gothic"/>
          <w:sz w:val="23"/>
          <w:szCs w:val="23"/>
        </w:rPr>
        <w:t xml:space="preserve"> </w:t>
      </w:r>
      <w:proofErr w:type="spellStart"/>
      <w:r w:rsidRPr="00F41CF4">
        <w:rPr>
          <w:rFonts w:eastAsia="Century Gothic"/>
          <w:sz w:val="23"/>
          <w:szCs w:val="23"/>
        </w:rPr>
        <w:t>Perrar</w:t>
      </w:r>
      <w:proofErr w:type="spellEnd"/>
      <w:r w:rsidRPr="00F41CF4">
        <w:rPr>
          <w:rFonts w:eastAsia="Century Gothic"/>
          <w:sz w:val="23"/>
          <w:szCs w:val="23"/>
        </w:rPr>
        <w:t>,</w:t>
      </w:r>
      <w:r>
        <w:rPr>
          <w:rFonts w:eastAsia="Century Gothic"/>
          <w:sz w:val="23"/>
          <w:szCs w:val="23"/>
        </w:rPr>
        <w:t xml:space="preserve"> I.,</w:t>
      </w:r>
      <w:r w:rsidRPr="00F41CF4">
        <w:rPr>
          <w:rFonts w:eastAsia="Century Gothic"/>
          <w:sz w:val="23"/>
          <w:szCs w:val="23"/>
        </w:rPr>
        <w:t xml:space="preserve"> </w:t>
      </w:r>
      <w:r w:rsidRPr="00F41CF4">
        <w:rPr>
          <w:rFonts w:eastAsia="Century Gothic"/>
          <w:b/>
          <w:sz w:val="23"/>
          <w:szCs w:val="23"/>
        </w:rPr>
        <w:t>Paris, J. M. G.</w:t>
      </w:r>
      <w:r>
        <w:rPr>
          <w:rFonts w:eastAsia="Century Gothic"/>
          <w:sz w:val="23"/>
          <w:szCs w:val="23"/>
        </w:rPr>
        <w:t xml:space="preserve">, </w:t>
      </w:r>
      <w:proofErr w:type="spellStart"/>
      <w:r w:rsidRPr="00F41CF4">
        <w:rPr>
          <w:rFonts w:eastAsia="Century Gothic"/>
          <w:sz w:val="23"/>
          <w:szCs w:val="23"/>
        </w:rPr>
        <w:t>Schnermann</w:t>
      </w:r>
      <w:proofErr w:type="spellEnd"/>
      <w:r w:rsidRPr="00F41CF4">
        <w:rPr>
          <w:rFonts w:eastAsia="Century Gothic"/>
          <w:sz w:val="23"/>
          <w:szCs w:val="23"/>
        </w:rPr>
        <w:t>,</w:t>
      </w:r>
      <w:r>
        <w:rPr>
          <w:rFonts w:eastAsia="Century Gothic"/>
          <w:sz w:val="23"/>
          <w:szCs w:val="23"/>
        </w:rPr>
        <w:t xml:space="preserve"> M. E., </w:t>
      </w:r>
      <w:proofErr w:type="spellStart"/>
      <w:r w:rsidRPr="00F41CF4">
        <w:rPr>
          <w:rFonts w:eastAsia="Century Gothic"/>
          <w:sz w:val="23"/>
          <w:szCs w:val="23"/>
        </w:rPr>
        <w:t>Oluwagbemigun</w:t>
      </w:r>
      <w:proofErr w:type="spellEnd"/>
      <w:r w:rsidRPr="00F41CF4">
        <w:rPr>
          <w:rFonts w:eastAsia="Century Gothic"/>
          <w:sz w:val="23"/>
          <w:szCs w:val="23"/>
        </w:rPr>
        <w:t xml:space="preserve">, </w:t>
      </w:r>
      <w:r>
        <w:rPr>
          <w:rFonts w:eastAsia="Century Gothic"/>
          <w:sz w:val="23"/>
          <w:szCs w:val="23"/>
        </w:rPr>
        <w:t xml:space="preserve">K., </w:t>
      </w:r>
      <w:proofErr w:type="spellStart"/>
      <w:r w:rsidRPr="00F41CF4">
        <w:rPr>
          <w:rFonts w:eastAsia="Century Gothic"/>
          <w:sz w:val="23"/>
          <w:szCs w:val="23"/>
        </w:rPr>
        <w:t>Alexy</w:t>
      </w:r>
      <w:proofErr w:type="spellEnd"/>
      <w:r w:rsidRPr="00F41CF4">
        <w:rPr>
          <w:rFonts w:eastAsia="Century Gothic"/>
          <w:sz w:val="23"/>
          <w:szCs w:val="23"/>
        </w:rPr>
        <w:t>,</w:t>
      </w:r>
      <w:r>
        <w:rPr>
          <w:rFonts w:eastAsia="Century Gothic"/>
          <w:sz w:val="23"/>
          <w:szCs w:val="23"/>
        </w:rPr>
        <w:t xml:space="preserve"> U., </w:t>
      </w:r>
      <w:r w:rsidRPr="00F41CF4">
        <w:rPr>
          <w:rFonts w:eastAsia="Century Gothic"/>
          <w:sz w:val="23"/>
          <w:szCs w:val="23"/>
        </w:rPr>
        <w:t>Nöthlings,</w:t>
      </w:r>
      <w:r>
        <w:rPr>
          <w:rFonts w:eastAsia="Century Gothic"/>
          <w:sz w:val="23"/>
          <w:szCs w:val="23"/>
        </w:rPr>
        <w:t xml:space="preserve"> U. (2024). </w:t>
      </w:r>
      <w:r w:rsidRPr="00F41CF4">
        <w:rPr>
          <w:rFonts w:eastAsia="Century Gothic"/>
          <w:sz w:val="23"/>
          <w:szCs w:val="23"/>
        </w:rPr>
        <w:t>Environmental sustainability of diets among children and adolescents in the German DONALD cohort study: Age and time trends, and nutrient adequacy</w:t>
      </w:r>
      <w:r>
        <w:rPr>
          <w:rFonts w:eastAsia="Century Gothic"/>
          <w:sz w:val="23"/>
          <w:szCs w:val="23"/>
        </w:rPr>
        <w:t xml:space="preserve">. </w:t>
      </w:r>
      <w:r w:rsidRPr="00F41CF4">
        <w:rPr>
          <w:rFonts w:eastAsia="Century Gothic"/>
          <w:i/>
          <w:sz w:val="23"/>
          <w:szCs w:val="23"/>
        </w:rPr>
        <w:t>The American Journal of Clinical Nutrition (in press)</w:t>
      </w:r>
      <w:r>
        <w:rPr>
          <w:rFonts w:eastAsia="Century Gothic"/>
          <w:sz w:val="23"/>
          <w:szCs w:val="23"/>
        </w:rPr>
        <w:t xml:space="preserve">. </w:t>
      </w:r>
      <w:hyperlink r:id="rId8" w:history="1">
        <w:r w:rsidRPr="0079616F">
          <w:rPr>
            <w:rStyle w:val="Hyperlink"/>
            <w:rFonts w:eastAsia="Century Gothic"/>
            <w:sz w:val="23"/>
            <w:szCs w:val="23"/>
          </w:rPr>
          <w:t>https://doi.org/10.1016/j.ajcnut.2024.04.026</w:t>
        </w:r>
      </w:hyperlink>
      <w:r>
        <w:rPr>
          <w:rFonts w:eastAsia="Century Gothic"/>
          <w:sz w:val="23"/>
          <w:szCs w:val="23"/>
        </w:rPr>
        <w:t xml:space="preserve">. </w:t>
      </w:r>
    </w:p>
    <w:p w14:paraId="284E11B0" w14:textId="192647E4" w:rsidR="00C54CE3" w:rsidRPr="00F41CF4" w:rsidRDefault="00F41CF4" w:rsidP="00C54CE3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F41CF4">
        <w:rPr>
          <w:rFonts w:eastAsia="Century Gothic"/>
          <w:b/>
          <w:sz w:val="23"/>
          <w:szCs w:val="23"/>
        </w:rPr>
        <w:t xml:space="preserve">Paris, J. M. G., </w:t>
      </w:r>
      <w:r w:rsidRPr="00F41CF4">
        <w:rPr>
          <w:rFonts w:eastAsia="Century Gothic"/>
          <w:sz w:val="23"/>
          <w:szCs w:val="23"/>
        </w:rPr>
        <w:t>Lima, E. M. F., Finger, J. d. A. F. F., Isidorio, W. R., Heinzel, C., Falkenberg, T., Borgemeister, C., Pinto, U. M., &amp; Nöthlings, U. (2024). Changes in eating habits and lifestyle during the first year of the COVID-19 pandemic across metropolitan regions in Brazil</w:t>
      </w:r>
      <w:r w:rsidRPr="00F41CF4">
        <w:rPr>
          <w:rFonts w:eastAsia="Century Gothic"/>
          <w:b/>
          <w:sz w:val="23"/>
          <w:szCs w:val="23"/>
        </w:rPr>
        <w:t xml:space="preserve"> and </w:t>
      </w:r>
      <w:r w:rsidRPr="00F41CF4">
        <w:rPr>
          <w:rFonts w:eastAsia="Century Gothic"/>
          <w:sz w:val="23"/>
          <w:szCs w:val="23"/>
        </w:rPr>
        <w:lastRenderedPageBreak/>
        <w:t xml:space="preserve">Germany: A survey-based cross-sectional study. </w:t>
      </w:r>
      <w:r w:rsidRPr="00F41CF4">
        <w:rPr>
          <w:rFonts w:eastAsia="Century Gothic"/>
          <w:i/>
          <w:sz w:val="23"/>
          <w:szCs w:val="23"/>
        </w:rPr>
        <w:t>Food Science &amp; Nutrition, 12</w:t>
      </w:r>
      <w:r w:rsidRPr="00F41CF4">
        <w:rPr>
          <w:rFonts w:eastAsia="Century Gothic"/>
          <w:sz w:val="23"/>
          <w:szCs w:val="23"/>
        </w:rPr>
        <w:t xml:space="preserve">, 2783–2798. </w:t>
      </w:r>
      <w:hyperlink r:id="rId9" w:history="1">
        <w:r w:rsidRPr="0079616F">
          <w:rPr>
            <w:rStyle w:val="Hyperlink"/>
            <w:rFonts w:eastAsia="Century Gothic"/>
            <w:sz w:val="23"/>
            <w:szCs w:val="23"/>
          </w:rPr>
          <w:t>https://doi.org/10.1002/fsn3.3960</w:t>
        </w:r>
      </w:hyperlink>
      <w:r>
        <w:rPr>
          <w:rFonts w:eastAsia="Century Gothic"/>
          <w:sz w:val="23"/>
          <w:szCs w:val="23"/>
        </w:rPr>
        <w:t xml:space="preserve">. </w:t>
      </w:r>
    </w:p>
    <w:p w14:paraId="56094A4E" w14:textId="1057B9E4" w:rsidR="00C54CE3" w:rsidRPr="00C54CE3" w:rsidRDefault="00C54CE3" w:rsidP="00C54CE3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C54CE3">
        <w:rPr>
          <w:rFonts w:eastAsia="Century Gothic"/>
          <w:b/>
          <w:sz w:val="23"/>
          <w:szCs w:val="23"/>
        </w:rPr>
        <w:t>Paris, J. M. G.</w:t>
      </w:r>
      <w:r w:rsidRPr="00C54CE3">
        <w:rPr>
          <w:rFonts w:eastAsia="Century Gothic"/>
          <w:sz w:val="23"/>
          <w:szCs w:val="23"/>
        </w:rPr>
        <w:t xml:space="preserve">, Falkenberg, T., Nöthlings, U., Heinzel, C., Borgemeister, C., &amp; Escobar, N. (2022). Changing dietary patterns is necessary to improve the sustainability of Western diets from a One Health perspective. </w:t>
      </w:r>
      <w:r w:rsidRPr="00C54CE3">
        <w:rPr>
          <w:rStyle w:val="em"/>
          <w:rFonts w:eastAsia="Century Gothic"/>
          <w:i/>
          <w:iCs/>
          <w:sz w:val="23"/>
          <w:szCs w:val="23"/>
        </w:rPr>
        <w:t>Science of the Total Environment</w:t>
      </w:r>
      <w:r w:rsidRPr="00C54CE3">
        <w:rPr>
          <w:rFonts w:eastAsia="Century Gothic"/>
          <w:sz w:val="23"/>
          <w:szCs w:val="23"/>
        </w:rPr>
        <w:t xml:space="preserve">, </w:t>
      </w:r>
      <w:r w:rsidRPr="00C54CE3">
        <w:rPr>
          <w:rStyle w:val="em"/>
          <w:rFonts w:eastAsia="Century Gothic"/>
          <w:i/>
          <w:iCs/>
          <w:sz w:val="23"/>
          <w:szCs w:val="23"/>
        </w:rPr>
        <w:t>811</w:t>
      </w:r>
      <w:r w:rsidRPr="00C54CE3">
        <w:rPr>
          <w:rFonts w:eastAsia="Century Gothic"/>
          <w:sz w:val="23"/>
          <w:szCs w:val="23"/>
        </w:rPr>
        <w:t xml:space="preserve">, 151437. </w:t>
      </w:r>
      <w:hyperlink r:id="rId10" w:history="1">
        <w:r w:rsidR="00F41CF4" w:rsidRPr="0079616F">
          <w:rPr>
            <w:rStyle w:val="Hyperlink"/>
            <w:rFonts w:eastAsia="Century Gothic"/>
            <w:sz w:val="23"/>
            <w:szCs w:val="23"/>
          </w:rPr>
          <w:t>https://doi.org/10.1016/j.scitotenv.2021.151437</w:t>
        </w:r>
      </w:hyperlink>
      <w:r w:rsidR="00F41CF4">
        <w:rPr>
          <w:rFonts w:eastAsia="Century Gothic"/>
          <w:sz w:val="23"/>
          <w:szCs w:val="23"/>
        </w:rPr>
        <w:t xml:space="preserve">. </w:t>
      </w:r>
      <w:bookmarkStart w:id="0" w:name="_GoBack"/>
      <w:bookmarkEnd w:id="0"/>
    </w:p>
    <w:p w14:paraId="350AFBAB" w14:textId="77777777" w:rsidR="00C54CE3" w:rsidRPr="00C54CE3" w:rsidRDefault="00C54CE3" w:rsidP="00C54CE3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C54CE3">
        <w:rPr>
          <w:rFonts w:eastAsia="Century Gothic"/>
          <w:sz w:val="23"/>
          <w:szCs w:val="23"/>
        </w:rPr>
        <w:t xml:space="preserve">Schmiege, D., Arredondo, A. M. P., </w:t>
      </w:r>
      <w:proofErr w:type="spellStart"/>
      <w:r w:rsidRPr="00C54CE3">
        <w:rPr>
          <w:rFonts w:eastAsia="Century Gothic"/>
          <w:sz w:val="23"/>
          <w:szCs w:val="23"/>
        </w:rPr>
        <w:t>Ntajal</w:t>
      </w:r>
      <w:proofErr w:type="spellEnd"/>
      <w:r w:rsidRPr="00C54CE3">
        <w:rPr>
          <w:rFonts w:eastAsia="Century Gothic"/>
          <w:sz w:val="23"/>
          <w:szCs w:val="23"/>
        </w:rPr>
        <w:t xml:space="preserve">, J., </w:t>
      </w:r>
      <w:r w:rsidRPr="00C54CE3">
        <w:rPr>
          <w:rFonts w:eastAsia="Century Gothic"/>
          <w:b/>
          <w:sz w:val="23"/>
          <w:szCs w:val="23"/>
        </w:rPr>
        <w:t>Paris, J. M. G</w:t>
      </w:r>
      <w:r w:rsidRPr="00C54CE3">
        <w:rPr>
          <w:rFonts w:eastAsia="Century Gothic"/>
          <w:sz w:val="23"/>
          <w:szCs w:val="23"/>
        </w:rPr>
        <w:t xml:space="preserve">., </w:t>
      </w:r>
      <w:proofErr w:type="spellStart"/>
      <w:r w:rsidRPr="00C54CE3">
        <w:rPr>
          <w:rFonts w:eastAsia="Century Gothic"/>
          <w:sz w:val="23"/>
          <w:szCs w:val="23"/>
        </w:rPr>
        <w:t>Savi</w:t>
      </w:r>
      <w:proofErr w:type="spellEnd"/>
      <w:r w:rsidRPr="00C54CE3">
        <w:rPr>
          <w:rFonts w:eastAsia="Century Gothic"/>
          <w:sz w:val="23"/>
          <w:szCs w:val="23"/>
        </w:rPr>
        <w:t xml:space="preserve">, M. K., Patel, K., </w:t>
      </w:r>
      <w:proofErr w:type="spellStart"/>
      <w:r w:rsidRPr="00C54CE3">
        <w:rPr>
          <w:rFonts w:eastAsia="Century Gothic"/>
          <w:sz w:val="23"/>
          <w:szCs w:val="23"/>
        </w:rPr>
        <w:t>Yasobant</w:t>
      </w:r>
      <w:proofErr w:type="spellEnd"/>
      <w:r w:rsidRPr="00C54CE3">
        <w:rPr>
          <w:rFonts w:eastAsia="Century Gothic"/>
          <w:sz w:val="23"/>
          <w:szCs w:val="23"/>
        </w:rPr>
        <w:t xml:space="preserve">, S., &amp; Falkenberg, T. (2020). One Health in the context of coronavirus outbreaks: A systematic literature review. </w:t>
      </w:r>
      <w:r w:rsidRPr="00C54CE3">
        <w:rPr>
          <w:rStyle w:val="em"/>
          <w:rFonts w:eastAsia="Century Gothic"/>
          <w:i/>
          <w:iCs/>
          <w:sz w:val="23"/>
          <w:szCs w:val="23"/>
        </w:rPr>
        <w:t>One Health</w:t>
      </w:r>
      <w:r w:rsidRPr="00C54CE3">
        <w:rPr>
          <w:rFonts w:eastAsia="Century Gothic"/>
          <w:sz w:val="23"/>
          <w:szCs w:val="23"/>
        </w:rPr>
        <w:t xml:space="preserve">, </w:t>
      </w:r>
      <w:r w:rsidRPr="00C54CE3">
        <w:rPr>
          <w:rStyle w:val="em"/>
          <w:rFonts w:eastAsia="Century Gothic"/>
          <w:i/>
          <w:iCs/>
          <w:sz w:val="23"/>
          <w:szCs w:val="23"/>
        </w:rPr>
        <w:t>10</w:t>
      </w:r>
      <w:r w:rsidRPr="00C54CE3">
        <w:rPr>
          <w:rFonts w:eastAsia="Century Gothic"/>
          <w:sz w:val="23"/>
          <w:szCs w:val="23"/>
        </w:rPr>
        <w:t>, 100170. https://doi.org/10.1016/j.onehlt.2020.100170</w:t>
      </w:r>
    </w:p>
    <w:p w14:paraId="33FB97F2" w14:textId="77777777" w:rsidR="00C54CE3" w:rsidRPr="00C54CE3" w:rsidRDefault="00C54CE3" w:rsidP="00C54CE3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r w:rsidRPr="00C54CE3">
        <w:rPr>
          <w:rFonts w:eastAsia="Century Gothic"/>
          <w:sz w:val="23"/>
          <w:szCs w:val="23"/>
        </w:rPr>
        <w:t xml:space="preserve">Falkenberg, T., </w:t>
      </w:r>
      <w:r w:rsidRPr="00C54CE3">
        <w:rPr>
          <w:rFonts w:eastAsia="Century Gothic"/>
          <w:b/>
          <w:sz w:val="23"/>
          <w:szCs w:val="23"/>
        </w:rPr>
        <w:t>Paris, J. M. G</w:t>
      </w:r>
      <w:r w:rsidRPr="00C54CE3">
        <w:rPr>
          <w:rFonts w:eastAsia="Century Gothic"/>
          <w:sz w:val="23"/>
          <w:szCs w:val="23"/>
        </w:rPr>
        <w:t xml:space="preserve">., Patel, K., Arredondo, A. M. P., Schmiege, D., &amp; </w:t>
      </w:r>
      <w:proofErr w:type="spellStart"/>
      <w:r w:rsidRPr="00C54CE3">
        <w:rPr>
          <w:rFonts w:eastAsia="Century Gothic"/>
          <w:sz w:val="23"/>
          <w:szCs w:val="23"/>
        </w:rPr>
        <w:t>Yasobant</w:t>
      </w:r>
      <w:proofErr w:type="spellEnd"/>
      <w:r w:rsidRPr="00C54CE3">
        <w:rPr>
          <w:rFonts w:eastAsia="Century Gothic"/>
          <w:sz w:val="23"/>
          <w:szCs w:val="23"/>
        </w:rPr>
        <w:t xml:space="preserve">, S. (2022). Operationalizing the One Health Approach in a Context of Urban Transformations. In Urban Health and Wellbeing </w:t>
      </w:r>
      <w:proofErr w:type="spellStart"/>
      <w:r w:rsidRPr="00C54CE3">
        <w:rPr>
          <w:rFonts w:eastAsia="Century Gothic"/>
          <w:sz w:val="23"/>
          <w:szCs w:val="23"/>
        </w:rPr>
        <w:t>Programme</w:t>
      </w:r>
      <w:proofErr w:type="spellEnd"/>
      <w:r w:rsidRPr="00C54CE3">
        <w:rPr>
          <w:rFonts w:eastAsia="Century Gothic"/>
          <w:sz w:val="23"/>
          <w:szCs w:val="23"/>
        </w:rPr>
        <w:t>. Urban Health and Wellbeing (pp. 95–102). Springer, Singapore. https://doi.org/10.1007/978-981-19-2523-8_14</w:t>
      </w:r>
    </w:p>
    <w:p w14:paraId="737B1429" w14:textId="6F5B6D00" w:rsidR="00FE178B" w:rsidRDefault="00C54CE3" w:rsidP="00C54CE3">
      <w:pPr>
        <w:pStyle w:val="p"/>
        <w:numPr>
          <w:ilvl w:val="0"/>
          <w:numId w:val="3"/>
        </w:numPr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  <w:proofErr w:type="spellStart"/>
      <w:r w:rsidRPr="00C54CE3">
        <w:rPr>
          <w:rFonts w:eastAsia="Century Gothic"/>
          <w:sz w:val="23"/>
          <w:szCs w:val="23"/>
        </w:rPr>
        <w:t>Yasobant</w:t>
      </w:r>
      <w:proofErr w:type="spellEnd"/>
      <w:r w:rsidRPr="00C54CE3">
        <w:rPr>
          <w:rFonts w:eastAsia="Century Gothic"/>
          <w:sz w:val="23"/>
          <w:szCs w:val="23"/>
        </w:rPr>
        <w:t xml:space="preserve">, S., Arredondo, A. M. P., </w:t>
      </w:r>
      <w:proofErr w:type="spellStart"/>
      <w:r w:rsidRPr="00C54CE3">
        <w:rPr>
          <w:rFonts w:eastAsia="Century Gothic"/>
          <w:sz w:val="23"/>
          <w:szCs w:val="23"/>
        </w:rPr>
        <w:t>Felappi</w:t>
      </w:r>
      <w:proofErr w:type="spellEnd"/>
      <w:r w:rsidRPr="00C54CE3">
        <w:rPr>
          <w:rFonts w:eastAsia="Century Gothic"/>
          <w:sz w:val="23"/>
          <w:szCs w:val="23"/>
        </w:rPr>
        <w:t xml:space="preserve">, J. F., </w:t>
      </w:r>
      <w:proofErr w:type="spellStart"/>
      <w:r w:rsidRPr="00C54CE3">
        <w:rPr>
          <w:rFonts w:eastAsia="Century Gothic"/>
          <w:sz w:val="23"/>
          <w:szCs w:val="23"/>
        </w:rPr>
        <w:t>Ntajal</w:t>
      </w:r>
      <w:proofErr w:type="spellEnd"/>
      <w:r w:rsidRPr="00C54CE3">
        <w:rPr>
          <w:rFonts w:eastAsia="Century Gothic"/>
          <w:sz w:val="23"/>
          <w:szCs w:val="23"/>
        </w:rPr>
        <w:t xml:space="preserve">, J., </w:t>
      </w:r>
      <w:r w:rsidRPr="00C54CE3">
        <w:rPr>
          <w:rFonts w:eastAsia="Century Gothic"/>
          <w:b/>
          <w:sz w:val="23"/>
          <w:szCs w:val="23"/>
        </w:rPr>
        <w:t>Paris, J. M. G.</w:t>
      </w:r>
      <w:r w:rsidRPr="00C54CE3">
        <w:rPr>
          <w:rFonts w:eastAsia="Century Gothic"/>
          <w:sz w:val="23"/>
          <w:szCs w:val="23"/>
        </w:rPr>
        <w:t xml:space="preserve">, Patel, K., </w:t>
      </w:r>
      <w:proofErr w:type="spellStart"/>
      <w:r w:rsidRPr="00C54CE3">
        <w:rPr>
          <w:rFonts w:eastAsia="Century Gothic"/>
          <w:sz w:val="23"/>
          <w:szCs w:val="23"/>
        </w:rPr>
        <w:t>Savi</w:t>
      </w:r>
      <w:proofErr w:type="spellEnd"/>
      <w:r w:rsidRPr="00C54CE3">
        <w:rPr>
          <w:rFonts w:eastAsia="Century Gothic"/>
          <w:sz w:val="23"/>
          <w:szCs w:val="23"/>
        </w:rPr>
        <w:t xml:space="preserve">, M. K., Schmiege, D., &amp; Falkenberg, T. (2023). One Health as an Integrated Approach: Perspectives from Public Services for Mitigation of Future Epidemics. In Integrated Science (pp. 47–72). </w:t>
      </w:r>
      <w:hyperlink r:id="rId11" w:history="1">
        <w:r w:rsidR="00F41CF4" w:rsidRPr="0079616F">
          <w:rPr>
            <w:rStyle w:val="Hyperlink"/>
            <w:rFonts w:eastAsia="Century Gothic"/>
            <w:sz w:val="23"/>
            <w:szCs w:val="23"/>
          </w:rPr>
          <w:t>https://doi.org/10.1007/978-3-031-17778-1_3</w:t>
        </w:r>
      </w:hyperlink>
    </w:p>
    <w:p w14:paraId="19C5597E" w14:textId="21718FFD" w:rsidR="00F41CF4" w:rsidRDefault="00F41CF4" w:rsidP="00F41CF4">
      <w:pPr>
        <w:pStyle w:val="p"/>
        <w:shd w:val="clear" w:color="auto" w:fill="FFFFFF"/>
        <w:spacing w:line="320" w:lineRule="atLeast"/>
        <w:rPr>
          <w:rFonts w:eastAsia="Century Gothic"/>
          <w:sz w:val="23"/>
          <w:szCs w:val="23"/>
        </w:rPr>
      </w:pPr>
    </w:p>
    <w:sectPr w:rsidR="00F41CF4" w:rsidSect="002F69F7">
      <w:headerReference w:type="default" r:id="rId12"/>
      <w:pgSz w:w="11907" w:h="16840" w:code="9"/>
      <w:pgMar w:top="1418" w:right="1134" w:bottom="1134" w:left="1134" w:header="851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2705" w14:textId="77777777" w:rsidR="00755F65" w:rsidRDefault="00755F65" w:rsidP="00C54CE3">
      <w:r>
        <w:separator/>
      </w:r>
    </w:p>
  </w:endnote>
  <w:endnote w:type="continuationSeparator" w:id="0">
    <w:p w14:paraId="4B43D657" w14:textId="77777777" w:rsidR="00755F65" w:rsidRDefault="00755F65" w:rsidP="00C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473A" w14:textId="77777777" w:rsidR="00755F65" w:rsidRDefault="00755F65" w:rsidP="00C54CE3">
      <w:r>
        <w:separator/>
      </w:r>
    </w:p>
  </w:footnote>
  <w:footnote w:type="continuationSeparator" w:id="0">
    <w:p w14:paraId="05399D87" w14:textId="77777777" w:rsidR="00755F65" w:rsidRDefault="00755F65" w:rsidP="00C5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BB71" w14:textId="72992278" w:rsidR="00EF0526" w:rsidRDefault="0052208C" w:rsidP="00582AE7">
    <w:pPr>
      <w:pStyle w:val="Header"/>
      <w:tabs>
        <w:tab w:val="clear" w:pos="4536"/>
        <w:tab w:val="clear" w:pos="9072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4B"/>
    <w:multiLevelType w:val="hybridMultilevel"/>
    <w:tmpl w:val="5964B462"/>
    <w:lvl w:ilvl="0" w:tplc="EFC039D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545F"/>
    <w:multiLevelType w:val="hybridMultilevel"/>
    <w:tmpl w:val="C0504B06"/>
    <w:lvl w:ilvl="0" w:tplc="AE36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B35B6A"/>
    <w:multiLevelType w:val="hybridMultilevel"/>
    <w:tmpl w:val="82C67474"/>
    <w:lvl w:ilvl="0" w:tplc="EFC039D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S0tDQyNTY0tDQxMzZU0lEKTi0uzszPAykwrAUAd0HkUywAAAA="/>
  </w:docVars>
  <w:rsids>
    <w:rsidRoot w:val="0094710E"/>
    <w:rsid w:val="0052208C"/>
    <w:rsid w:val="00755F65"/>
    <w:rsid w:val="0094710E"/>
    <w:rsid w:val="00C54CE3"/>
    <w:rsid w:val="00D44D94"/>
    <w:rsid w:val="00F41CF4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CD4E25"/>
  <w15:chartTrackingRefBased/>
  <w15:docId w15:val="{7D94A248-0E9D-414A-B889-4E8CC72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0E"/>
    <w:pPr>
      <w:spacing w:after="0" w:line="240" w:lineRule="auto"/>
      <w:jc w:val="both"/>
    </w:pPr>
    <w:rPr>
      <w:rFonts w:ascii="Times New Roman" w:eastAsia="Times New Roman" w:hAnsi="Times New Roman" w:cs="Times New Roman"/>
      <w:spacing w:val="6"/>
      <w:sz w:val="24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94710E"/>
    <w:pPr>
      <w:keepNext/>
      <w:outlineLvl w:val="2"/>
    </w:pPr>
    <w:rPr>
      <w:b/>
      <w:sz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710E"/>
    <w:pPr>
      <w:keepNext/>
      <w:tabs>
        <w:tab w:val="left" w:pos="2835"/>
        <w:tab w:val="left" w:pos="9852"/>
      </w:tabs>
      <w:spacing w:before="360"/>
      <w:jc w:val="left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10E"/>
    <w:rPr>
      <w:rFonts w:ascii="Times New Roman" w:eastAsia="Times New Roman" w:hAnsi="Times New Roman" w:cs="Times New Roman"/>
      <w:b/>
      <w:spacing w:val="6"/>
      <w:sz w:val="28"/>
      <w:szCs w:val="20"/>
      <w:u w:val="single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94710E"/>
    <w:rPr>
      <w:rFonts w:ascii="Times New Roman" w:eastAsia="Times New Roman" w:hAnsi="Times New Roman" w:cs="Times New Roman"/>
      <w:b/>
      <w:bCs/>
      <w:spacing w:val="6"/>
      <w:sz w:val="24"/>
      <w:szCs w:val="20"/>
      <w:lang w:val="en-US" w:eastAsia="de-DE"/>
    </w:rPr>
  </w:style>
  <w:style w:type="paragraph" w:customStyle="1" w:styleId="Tabelle">
    <w:name w:val="Tabelle"/>
    <w:basedOn w:val="Normal"/>
    <w:rsid w:val="0094710E"/>
    <w:pPr>
      <w:keepNext/>
      <w:spacing w:before="60" w:after="60"/>
      <w:jc w:val="left"/>
    </w:pPr>
  </w:style>
  <w:style w:type="paragraph" w:styleId="Header">
    <w:name w:val="header"/>
    <w:basedOn w:val="Normal"/>
    <w:link w:val="HeaderChar"/>
    <w:rsid w:val="00947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710E"/>
    <w:rPr>
      <w:rFonts w:ascii="Times New Roman" w:eastAsia="Times New Roman" w:hAnsi="Times New Roman" w:cs="Times New Roman"/>
      <w:spacing w:val="6"/>
      <w:sz w:val="24"/>
      <w:szCs w:val="20"/>
      <w:lang w:val="de-DE" w:eastAsia="de-DE"/>
    </w:rPr>
  </w:style>
  <w:style w:type="character" w:styleId="PageNumber">
    <w:name w:val="page number"/>
    <w:basedOn w:val="DefaultParagraphFont"/>
    <w:rsid w:val="0094710E"/>
  </w:style>
  <w:style w:type="paragraph" w:styleId="BodyTextIndent">
    <w:name w:val="Body Text Indent"/>
    <w:basedOn w:val="Normal"/>
    <w:link w:val="BodyTextIndentChar"/>
    <w:rsid w:val="0094710E"/>
    <w:pPr>
      <w:spacing w:before="120"/>
      <w:ind w:left="2835" w:hanging="2835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710E"/>
    <w:rPr>
      <w:rFonts w:ascii="Times New Roman" w:eastAsia="Times New Roman" w:hAnsi="Times New Roman" w:cs="Times New Roman"/>
      <w:spacing w:val="6"/>
      <w:sz w:val="24"/>
      <w:szCs w:val="20"/>
      <w:lang w:val="en-US" w:eastAsia="de-DE"/>
    </w:rPr>
  </w:style>
  <w:style w:type="paragraph" w:styleId="BodyTextIndent2">
    <w:name w:val="Body Text Indent 2"/>
    <w:basedOn w:val="Normal"/>
    <w:link w:val="BodyTextIndent2Char"/>
    <w:rsid w:val="0094710E"/>
    <w:pPr>
      <w:tabs>
        <w:tab w:val="left" w:pos="2835"/>
        <w:tab w:val="left" w:pos="7655"/>
        <w:tab w:val="left" w:pos="9852"/>
      </w:tabs>
      <w:spacing w:before="120" w:after="120"/>
      <w:ind w:left="2835" w:hanging="2835"/>
      <w:jc w:val="left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4710E"/>
    <w:rPr>
      <w:rFonts w:ascii="Times New Roman" w:eastAsia="Times New Roman" w:hAnsi="Times New Roman" w:cs="Times New Roman"/>
      <w:spacing w:val="6"/>
      <w:sz w:val="24"/>
      <w:szCs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C54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E3"/>
    <w:rPr>
      <w:color w:val="605E5C"/>
      <w:shd w:val="clear" w:color="auto" w:fill="E1DFDD"/>
    </w:rPr>
  </w:style>
  <w:style w:type="paragraph" w:customStyle="1" w:styleId="divdocumentdivsectiontitle">
    <w:name w:val="div_document_div_sectiontitle"/>
    <w:basedOn w:val="Normal"/>
    <w:rsid w:val="00C54CE3"/>
    <w:pPr>
      <w:spacing w:line="340" w:lineRule="atLeast"/>
      <w:jc w:val="left"/>
      <w:textAlignment w:val="baseline"/>
    </w:pPr>
    <w:rPr>
      <w:b/>
      <w:bCs/>
      <w:caps/>
      <w:spacing w:val="0"/>
      <w:szCs w:val="24"/>
      <w:lang w:val="en-US" w:eastAsia="en-US"/>
    </w:rPr>
  </w:style>
  <w:style w:type="paragraph" w:customStyle="1" w:styleId="p">
    <w:name w:val="p"/>
    <w:basedOn w:val="Normal"/>
    <w:rsid w:val="00C54CE3"/>
    <w:pPr>
      <w:spacing w:line="240" w:lineRule="atLeast"/>
      <w:jc w:val="left"/>
      <w:textAlignment w:val="baseline"/>
    </w:pPr>
    <w:rPr>
      <w:spacing w:val="0"/>
      <w:szCs w:val="24"/>
      <w:lang w:val="en-US" w:eastAsia="en-US"/>
    </w:rPr>
  </w:style>
  <w:style w:type="character" w:customStyle="1" w:styleId="em">
    <w:name w:val="em"/>
    <w:basedOn w:val="DefaultParagraphFont"/>
    <w:rsid w:val="00C54CE3"/>
    <w:rPr>
      <w:sz w:val="24"/>
      <w:szCs w:val="24"/>
      <w:bdr w:val="none" w:sz="0" w:space="0" w:color="auto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C54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3"/>
    <w:rPr>
      <w:rFonts w:ascii="Times New Roman" w:eastAsia="Times New Roman" w:hAnsi="Times New Roman" w:cs="Times New Roman"/>
      <w:spacing w:val="6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jcnut.2024.04.0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eiar.2024.10752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031-17778-1_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scitotenv.2021.151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fsn3.39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3201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Gellert Paris</dc:creator>
  <cp:keywords/>
  <dc:description/>
  <cp:lastModifiedBy>Juliana Gellert Paris</cp:lastModifiedBy>
  <cp:revision>3</cp:revision>
  <dcterms:created xsi:type="dcterms:W3CDTF">2024-03-12T10:16:00Z</dcterms:created>
  <dcterms:modified xsi:type="dcterms:W3CDTF">2024-05-03T08:50:00Z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be3d4960-5136-4d12-921b-31a26fc6c382</vt:lpwstr>
  </property>
</Properties>
</file>