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3489" w14:textId="77777777" w:rsidR="00273457" w:rsidRPr="00273457" w:rsidRDefault="00273457" w:rsidP="00273457">
      <w:pPr>
        <w:pStyle w:val="BfNStandard"/>
        <w:rPr>
          <w:b/>
          <w:bCs/>
          <w:lang w:val="es-CO"/>
        </w:rPr>
      </w:pPr>
      <w:r w:rsidRPr="00273457">
        <w:rPr>
          <w:b/>
          <w:bCs/>
          <w:lang w:val="es-CO"/>
        </w:rPr>
        <w:t>Resumen</w:t>
      </w:r>
    </w:p>
    <w:p w14:paraId="7B02EC1E" w14:textId="7C3F27B5" w:rsidR="00273457" w:rsidRDefault="00273457" w:rsidP="00273457">
      <w:pPr>
        <w:pStyle w:val="BfNStandard"/>
        <w:rPr>
          <w:lang w:val="es-CO"/>
        </w:rPr>
      </w:pPr>
      <w:r w:rsidRPr="00273457">
        <w:rPr>
          <w:lang w:val="es-CO"/>
        </w:rPr>
        <w:t>Las Soluciones Basadas en la Naturaleza (</w:t>
      </w:r>
      <w:proofErr w:type="spellStart"/>
      <w:r w:rsidRPr="00273457">
        <w:rPr>
          <w:lang w:val="es-CO"/>
        </w:rPr>
        <w:t>SbN</w:t>
      </w:r>
      <w:proofErr w:type="spellEnd"/>
      <w:r w:rsidRPr="00273457">
        <w:rPr>
          <w:lang w:val="es-CO"/>
        </w:rPr>
        <w:t xml:space="preserve">) abarcan la protección, restauración y gestión sostenible de los ecosistemas para abordar el cambio climático, el riesgo de desastres y la pérdida de biodiversidad, buscando, a la vez, mejorar el bienestar humano. Sin embargo, a pesar de sus beneficios multifuncionales y rentables, la dimensión social de las </w:t>
      </w:r>
      <w:proofErr w:type="spellStart"/>
      <w:r w:rsidRPr="00273457">
        <w:rPr>
          <w:lang w:val="es-CO"/>
        </w:rPr>
        <w:t>SbN</w:t>
      </w:r>
      <w:proofErr w:type="spellEnd"/>
      <w:r w:rsidRPr="00273457">
        <w:rPr>
          <w:lang w:val="es-CO"/>
        </w:rPr>
        <w:t xml:space="preserve"> sigue siendo ignorada y subdesarrollada, lo que plantea desafíos para su implementación inclusiva y equitativa.</w:t>
      </w:r>
    </w:p>
    <w:p w14:paraId="403EB9D3" w14:textId="7FC1E495" w:rsidR="00273457" w:rsidRDefault="00273457" w:rsidP="00273457">
      <w:pPr>
        <w:pStyle w:val="BfNStandard"/>
        <w:rPr>
          <w:lang w:val="es-CO"/>
        </w:rPr>
      </w:pPr>
      <w:r w:rsidRPr="00273457">
        <w:rPr>
          <w:lang w:val="es-CO"/>
        </w:rPr>
        <w:t>Est</w:t>
      </w:r>
      <w:r>
        <w:rPr>
          <w:lang w:val="es-CO"/>
        </w:rPr>
        <w:t>a</w:t>
      </w:r>
      <w:r w:rsidRPr="00273457">
        <w:rPr>
          <w:lang w:val="es-CO"/>
        </w:rPr>
        <w:t xml:space="preserve"> </w:t>
      </w:r>
      <w:r>
        <w:rPr>
          <w:lang w:val="es-CO"/>
        </w:rPr>
        <w:t>guía</w:t>
      </w:r>
      <w:r w:rsidRPr="00273457">
        <w:rPr>
          <w:lang w:val="es-CO"/>
        </w:rPr>
        <w:t xml:space="preserve"> sintetiza las lecciones aprendidas de la investigación y la práctica, con el objetivo de inspirar y equipar a todos aquellos que trabajan hacia un futuro sostenible y socialmente justo a través de las </w:t>
      </w:r>
      <w:proofErr w:type="spellStart"/>
      <w:r w:rsidRPr="00273457">
        <w:rPr>
          <w:lang w:val="es-CO"/>
        </w:rPr>
        <w:t>SbN</w:t>
      </w:r>
      <w:proofErr w:type="spellEnd"/>
      <w:r w:rsidRPr="00273457">
        <w:rPr>
          <w:lang w:val="es-CO"/>
        </w:rPr>
        <w:t>.</w:t>
      </w:r>
    </w:p>
    <w:p w14:paraId="71DCF95A" w14:textId="7B671BCC" w:rsidR="00273457" w:rsidRPr="00273457" w:rsidRDefault="00273457" w:rsidP="003F4A17">
      <w:pPr>
        <w:pStyle w:val="BfNStandard"/>
        <w:numPr>
          <w:ilvl w:val="0"/>
          <w:numId w:val="3"/>
        </w:numPr>
        <w:ind w:left="426" w:hanging="426"/>
        <w:rPr>
          <w:lang w:val="es-CO"/>
        </w:rPr>
      </w:pPr>
      <w:r w:rsidRPr="00273457">
        <w:rPr>
          <w:lang w:val="es-CO"/>
        </w:rPr>
        <w:t xml:space="preserve">En el proyecto </w:t>
      </w:r>
      <w:proofErr w:type="spellStart"/>
      <w:r w:rsidRPr="00273457">
        <w:rPr>
          <w:lang w:val="es-CO"/>
        </w:rPr>
        <w:t>BioClimSocial</w:t>
      </w:r>
      <w:proofErr w:type="spellEnd"/>
      <w:r w:rsidRPr="00273457">
        <w:rPr>
          <w:lang w:val="es-CO"/>
        </w:rPr>
        <w:t xml:space="preserve">, </w:t>
      </w:r>
      <w:r w:rsidRPr="003F4A17">
        <w:rPr>
          <w:b/>
          <w:bCs/>
          <w:lang w:val="es-CO"/>
        </w:rPr>
        <w:t xml:space="preserve">la dimensión social de las </w:t>
      </w:r>
      <w:proofErr w:type="spellStart"/>
      <w:r w:rsidRPr="003F4A17">
        <w:rPr>
          <w:b/>
          <w:bCs/>
          <w:lang w:val="es-CO"/>
        </w:rPr>
        <w:t>SbN</w:t>
      </w:r>
      <w:proofErr w:type="spellEnd"/>
      <w:r w:rsidRPr="00273457">
        <w:rPr>
          <w:lang w:val="es-CO"/>
        </w:rPr>
        <w:t xml:space="preserve"> se entiende como: El proceso y los principios de integración de las dinámicas sociales a lo largo del ciclo de intervención de las </w:t>
      </w:r>
      <w:proofErr w:type="spellStart"/>
      <w:r w:rsidRPr="00273457">
        <w:rPr>
          <w:lang w:val="es-CO"/>
        </w:rPr>
        <w:t>SbN</w:t>
      </w:r>
      <w:proofErr w:type="spellEnd"/>
      <w:r w:rsidRPr="00273457">
        <w:rPr>
          <w:lang w:val="es-CO"/>
        </w:rPr>
        <w:t>, y como los impactos o resultados sociales que resultan de estas intervenciones.</w:t>
      </w:r>
    </w:p>
    <w:p w14:paraId="7BD382F3" w14:textId="106E2D32" w:rsidR="003F4A17" w:rsidRPr="003F4A17" w:rsidRDefault="003F4A17" w:rsidP="000B37BE">
      <w:pPr>
        <w:pStyle w:val="BfNAufzhlunggrnePunkte"/>
        <w:rPr>
          <w:lang w:val="es-CO"/>
        </w:rPr>
      </w:pPr>
      <w:r w:rsidRPr="003F4A17">
        <w:rPr>
          <w:b/>
          <w:bCs/>
          <w:lang w:val="es-CO"/>
        </w:rPr>
        <w:t xml:space="preserve">Considerar la dimensión social a lo largo de todo el ciclo de las </w:t>
      </w:r>
      <w:proofErr w:type="spellStart"/>
      <w:r w:rsidRPr="003F4A17">
        <w:rPr>
          <w:b/>
          <w:bCs/>
          <w:lang w:val="es-CO"/>
        </w:rPr>
        <w:t>SbN</w:t>
      </w:r>
      <w:proofErr w:type="spellEnd"/>
      <w:r w:rsidRPr="003F4A17">
        <w:rPr>
          <w:lang w:val="es-CO"/>
        </w:rPr>
        <w:t xml:space="preserve"> es esencial para identificar y abordar todas las necesidades y prioridades de las partes interesadas y garantizar una distribución equitativa de los beneficios; descuidar esta dimensión corre el riesgo de socavar tanto los resultados sociales de las </w:t>
      </w:r>
      <w:proofErr w:type="spellStart"/>
      <w:r w:rsidRPr="003F4A17">
        <w:rPr>
          <w:lang w:val="es-CO"/>
        </w:rPr>
        <w:t>SbN</w:t>
      </w:r>
      <w:proofErr w:type="spellEnd"/>
      <w:r w:rsidRPr="003F4A17">
        <w:rPr>
          <w:lang w:val="es-CO"/>
        </w:rPr>
        <w:t xml:space="preserve"> como la sostenibilidad del proyecto a largo plazo.</w:t>
      </w:r>
    </w:p>
    <w:p w14:paraId="39C1A8C8" w14:textId="609AA218" w:rsidR="005B5F8F" w:rsidRPr="005B5F8F" w:rsidRDefault="005B5F8F" w:rsidP="000B37BE">
      <w:pPr>
        <w:pStyle w:val="BfNAufzhlunggrnePunkte"/>
        <w:rPr>
          <w:lang w:val="es-CO"/>
        </w:rPr>
      </w:pPr>
      <w:r w:rsidRPr="005B5F8F">
        <w:rPr>
          <w:b/>
          <w:bCs/>
          <w:lang w:val="es-CO"/>
        </w:rPr>
        <w:t xml:space="preserve">Los procesos y principios fundamentales que guían las </w:t>
      </w:r>
      <w:proofErr w:type="spellStart"/>
      <w:r w:rsidRPr="005B5F8F">
        <w:rPr>
          <w:b/>
          <w:bCs/>
          <w:lang w:val="es-CO"/>
        </w:rPr>
        <w:t>SbN</w:t>
      </w:r>
      <w:proofErr w:type="spellEnd"/>
      <w:r w:rsidRPr="005B5F8F">
        <w:rPr>
          <w:lang w:val="es-CO"/>
        </w:rPr>
        <w:t xml:space="preserve"> incluyen reconocer la diversidad; seguir un enfoque basado en los derechos; garantizar la justicia, la equidad y el acceso; integrar diversos sistemas de conocimiento; comprender el contexto cultural y las redes sociales; y apuntar a establecer una gobernanza colaborativa y una comunicación eficaz entre iguales.</w:t>
      </w:r>
    </w:p>
    <w:p w14:paraId="772CFDD2" w14:textId="7974D2CF" w:rsidR="005B5F8F" w:rsidRPr="005B5F8F" w:rsidRDefault="005B5F8F" w:rsidP="000B37BE">
      <w:pPr>
        <w:pStyle w:val="BfNAufzhlunggrnePunkte"/>
        <w:rPr>
          <w:lang w:val="es-CO"/>
        </w:rPr>
      </w:pPr>
      <w:r w:rsidRPr="005B5F8F">
        <w:rPr>
          <w:b/>
          <w:bCs/>
          <w:lang w:val="es-CO"/>
        </w:rPr>
        <w:t>Los beneficios sociales colaterales</w:t>
      </w:r>
      <w:r w:rsidRPr="005B5F8F">
        <w:rPr>
          <w:lang w:val="es-CO"/>
        </w:rPr>
        <w:t xml:space="preserve"> que pueden lograrse cuando las </w:t>
      </w:r>
      <w:proofErr w:type="spellStart"/>
      <w:r w:rsidRPr="005B5F8F">
        <w:rPr>
          <w:lang w:val="es-CO"/>
        </w:rPr>
        <w:t>SbN</w:t>
      </w:r>
      <w:proofErr w:type="spellEnd"/>
      <w:r w:rsidRPr="005B5F8F">
        <w:rPr>
          <w:lang w:val="es-CO"/>
        </w:rPr>
        <w:t xml:space="preserve"> se diseñan e implementan de acuerdo con los principios anterio</w:t>
      </w:r>
      <w:r>
        <w:rPr>
          <w:lang w:val="es-CO"/>
        </w:rPr>
        <w:t>rmente mencionados</w:t>
      </w:r>
      <w:r w:rsidRPr="005B5F8F">
        <w:rPr>
          <w:lang w:val="es-CO"/>
        </w:rPr>
        <w:t xml:space="preserve"> incluyen la contribución al bienestar individual y social, la mejora de la calidad de vida, la promoción de la igualdad y el fortalecimiento de la resiliencia de la comunidad, la provisión de oportunidades financieras, la mejora de la seguridad de la tenencia de la tierra, la promoción del valor del conocimiento tradicional y local, el fomento de las conexiones entre los seres humanos y la naturaleza y la mejora de los procesos de toma de decisiones locales.</w:t>
      </w:r>
    </w:p>
    <w:p w14:paraId="4E3C6442" w14:textId="09B4A0F5" w:rsidR="00C958F0" w:rsidRPr="00C958F0" w:rsidRDefault="00C958F0" w:rsidP="000B37BE">
      <w:pPr>
        <w:pStyle w:val="BfNAufzhlunggrnePunkte"/>
        <w:rPr>
          <w:lang w:val="es-CO"/>
        </w:rPr>
      </w:pPr>
      <w:r w:rsidRPr="00C958F0">
        <w:rPr>
          <w:lang w:val="es-CO"/>
        </w:rPr>
        <w:t xml:space="preserve">Cuando no se comprende el contexto social de la </w:t>
      </w:r>
      <w:proofErr w:type="spellStart"/>
      <w:r w:rsidRPr="00C958F0">
        <w:rPr>
          <w:lang w:val="es-CO"/>
        </w:rPr>
        <w:t>SbN</w:t>
      </w:r>
      <w:proofErr w:type="spellEnd"/>
      <w:r w:rsidRPr="00C958F0">
        <w:rPr>
          <w:lang w:val="es-CO"/>
        </w:rPr>
        <w:t xml:space="preserve"> o se descuidan los principios sociales fundamentales pueden producirse </w:t>
      </w:r>
      <w:r w:rsidRPr="00C958F0">
        <w:rPr>
          <w:b/>
          <w:bCs/>
          <w:lang w:val="es-CO"/>
        </w:rPr>
        <w:t>consecuencias sociales negativas o compensaciones</w:t>
      </w:r>
      <w:r w:rsidRPr="00C958F0">
        <w:rPr>
          <w:lang w:val="es-CO"/>
        </w:rPr>
        <w:t xml:space="preserve"> en cualquiera de las etapas de la </w:t>
      </w:r>
      <w:proofErr w:type="spellStart"/>
      <w:r w:rsidRPr="00C958F0">
        <w:rPr>
          <w:lang w:val="es-CO"/>
        </w:rPr>
        <w:t>SbN</w:t>
      </w:r>
      <w:proofErr w:type="spellEnd"/>
      <w:r w:rsidRPr="00C958F0">
        <w:rPr>
          <w:lang w:val="es-CO"/>
        </w:rPr>
        <w:t>. Esto incluye el reforzamiento de las desigualdades sociales, los conflictos por el uso del suelo, las pérdidas económicas temporales o localizadas y la tensión en las dinámicas sociales.</w:t>
      </w:r>
    </w:p>
    <w:p w14:paraId="71FE054F" w14:textId="72171F6E" w:rsidR="00C958F0" w:rsidRPr="00C958F0" w:rsidRDefault="00C958F0" w:rsidP="000B37BE">
      <w:pPr>
        <w:pStyle w:val="BfNAufzhlunggrnePunkte"/>
        <w:rPr>
          <w:lang w:val="es-CO"/>
        </w:rPr>
      </w:pPr>
      <w:r w:rsidRPr="00C958F0">
        <w:rPr>
          <w:lang w:val="es-CO"/>
        </w:rPr>
        <w:t xml:space="preserve">Es más probable obtener resultados sociales positivos cuando las </w:t>
      </w:r>
      <w:proofErr w:type="spellStart"/>
      <w:r w:rsidRPr="00C958F0">
        <w:rPr>
          <w:lang w:val="es-CO"/>
        </w:rPr>
        <w:t>SbN</w:t>
      </w:r>
      <w:proofErr w:type="spellEnd"/>
      <w:r w:rsidRPr="00C958F0">
        <w:rPr>
          <w:lang w:val="es-CO"/>
        </w:rPr>
        <w:t xml:space="preserve"> se implementan mediante </w:t>
      </w:r>
      <w:r w:rsidRPr="00C958F0">
        <w:rPr>
          <w:b/>
          <w:bCs/>
          <w:lang w:val="es-CO"/>
        </w:rPr>
        <w:t>enfoques inclusivos, participativos y contextualizados</w:t>
      </w:r>
      <w:r w:rsidRPr="00C958F0">
        <w:rPr>
          <w:lang w:val="es-CO"/>
        </w:rPr>
        <w:t xml:space="preserve">. Una </w:t>
      </w:r>
      <w:r w:rsidRPr="00C958F0">
        <w:rPr>
          <w:b/>
          <w:bCs/>
          <w:lang w:val="es-CO"/>
        </w:rPr>
        <w:t xml:space="preserve">perspectiva </w:t>
      </w:r>
      <w:r w:rsidRPr="00C958F0">
        <w:rPr>
          <w:b/>
          <w:bCs/>
          <w:lang w:val="es-CO"/>
        </w:rPr>
        <w:lastRenderedPageBreak/>
        <w:t xml:space="preserve">transdisciplinaria de las </w:t>
      </w:r>
      <w:proofErr w:type="spellStart"/>
      <w:r w:rsidRPr="00C958F0">
        <w:rPr>
          <w:b/>
          <w:bCs/>
          <w:lang w:val="es-CO"/>
        </w:rPr>
        <w:t>SbN</w:t>
      </w:r>
      <w:proofErr w:type="spellEnd"/>
      <w:r w:rsidRPr="00C958F0">
        <w:rPr>
          <w:b/>
          <w:bCs/>
          <w:lang w:val="es-CO"/>
        </w:rPr>
        <w:t xml:space="preserve"> implica</w:t>
      </w:r>
      <w:r w:rsidRPr="00C958F0">
        <w:rPr>
          <w:lang w:val="es-CO"/>
        </w:rPr>
        <w:t xml:space="preserve"> reconocer e integrar diversos intereses, percepciones, valores y sistemas de conocimiento mediante procesos colaborativos que involucran a una amplia gama de actores y partes interesadas en todas las etapas del proyecto.</w:t>
      </w:r>
    </w:p>
    <w:p w14:paraId="7E9D073E" w14:textId="16534621" w:rsidR="00C958F0" w:rsidRPr="00C958F0" w:rsidRDefault="00C958F0" w:rsidP="000B37BE">
      <w:pPr>
        <w:pStyle w:val="BfNAufzhlunggrnePunkte"/>
        <w:rPr>
          <w:lang w:val="es-CO"/>
        </w:rPr>
      </w:pPr>
      <w:r w:rsidRPr="00C958F0">
        <w:rPr>
          <w:b/>
          <w:bCs/>
          <w:lang w:val="es-CO"/>
        </w:rPr>
        <w:t>Las prácticas que generan resultados sociales positivos</w:t>
      </w:r>
      <w:r w:rsidRPr="00C958F0">
        <w:rPr>
          <w:lang w:val="es-CO"/>
        </w:rPr>
        <w:t xml:space="preserve"> en </w:t>
      </w:r>
      <w:proofErr w:type="spellStart"/>
      <w:r w:rsidRPr="00C958F0">
        <w:rPr>
          <w:lang w:val="es-CO"/>
        </w:rPr>
        <w:t>SbN</w:t>
      </w:r>
      <w:proofErr w:type="spellEnd"/>
      <w:r w:rsidRPr="00C958F0">
        <w:rPr>
          <w:lang w:val="es-CO"/>
        </w:rPr>
        <w:t xml:space="preserve"> requieren una orientación adecuada: marcos, herramientas y metodologías basados ​​en sólidas investigaciones </w:t>
      </w:r>
      <w:proofErr w:type="spellStart"/>
      <w:r w:rsidRPr="00C958F0">
        <w:rPr>
          <w:lang w:val="es-CO"/>
        </w:rPr>
        <w:t>socioecológicas</w:t>
      </w:r>
      <w:proofErr w:type="spellEnd"/>
      <w:r w:rsidRPr="00C958F0">
        <w:rPr>
          <w:lang w:val="es-CO"/>
        </w:rPr>
        <w:t xml:space="preserve">, observaciones del mundo real, lecciones aprendidas de estudios de caso y perspectivas de actores y partes interesadas. Algunos aspectos de la dimensión social de las </w:t>
      </w:r>
      <w:proofErr w:type="spellStart"/>
      <w:r w:rsidRPr="00C958F0">
        <w:rPr>
          <w:lang w:val="es-CO"/>
        </w:rPr>
        <w:t>SbN</w:t>
      </w:r>
      <w:proofErr w:type="spellEnd"/>
      <w:r w:rsidRPr="00C958F0">
        <w:rPr>
          <w:lang w:val="es-CO"/>
        </w:rPr>
        <w:t xml:space="preserve"> se abordan en la literatura científica y, especialmente, en la literatura gris; sin embargo, persisten importantes lagunas de conocimiento e implementación.</w:t>
      </w:r>
    </w:p>
    <w:p w14:paraId="787C6801" w14:textId="05A4F70C" w:rsidR="00DF633D" w:rsidRPr="00DF633D" w:rsidRDefault="00DF633D" w:rsidP="000B37BE">
      <w:pPr>
        <w:pStyle w:val="BfNAufzhlunggrnePunkte"/>
        <w:rPr>
          <w:lang w:val="es-CO"/>
        </w:rPr>
      </w:pPr>
      <w:r w:rsidRPr="00DF633D">
        <w:rPr>
          <w:b/>
          <w:bCs/>
          <w:lang w:val="es-CO"/>
        </w:rPr>
        <w:t xml:space="preserve">Los procesos de participación en </w:t>
      </w:r>
      <w:proofErr w:type="spellStart"/>
      <w:r w:rsidRPr="00DF633D">
        <w:rPr>
          <w:b/>
          <w:bCs/>
          <w:lang w:val="es-CO"/>
        </w:rPr>
        <w:t>SbN</w:t>
      </w:r>
      <w:proofErr w:type="spellEnd"/>
      <w:r w:rsidRPr="00DF633D">
        <w:rPr>
          <w:lang w:val="es-CO"/>
        </w:rPr>
        <w:t xml:space="preserve"> se basan en el mapeo de las partes interesadas; el establecimiento de marcos de proyecto transparentes y éticos que integren principios de salvaguardia; la evaluación de los factores subyacentes que influyen en una participación significativa, como, por ejemplo, la situación política; y la identificación y aplicación de métodos adecuados (por ejemplo, entrevistas de grupos focales o talleres participativos) para fomentar la integración de conocimientos y avanzar hacia la coproducción de conocimiento. Establecer una comunicación transparente y adaptativa, así como un seguimiento reflexivo, ayuda a orientar y guiar el proceso.</w:t>
      </w:r>
    </w:p>
    <w:p w14:paraId="77A86319" w14:textId="79D1E085" w:rsidR="00DF633D" w:rsidRPr="00DF633D" w:rsidRDefault="00DF633D" w:rsidP="000B37BE">
      <w:pPr>
        <w:pStyle w:val="BfNAufzhlunggrnePunkte"/>
        <w:rPr>
          <w:lang w:val="es-CO"/>
        </w:rPr>
      </w:pPr>
      <w:r w:rsidRPr="00DF633D">
        <w:rPr>
          <w:b/>
          <w:bCs/>
          <w:lang w:val="es-CO"/>
        </w:rPr>
        <w:t xml:space="preserve">Los factores que facilitan la transdisciplinariedad en las </w:t>
      </w:r>
      <w:proofErr w:type="spellStart"/>
      <w:r w:rsidRPr="00DF633D">
        <w:rPr>
          <w:b/>
          <w:bCs/>
          <w:lang w:val="es-CO"/>
        </w:rPr>
        <w:t>SbN</w:t>
      </w:r>
      <w:proofErr w:type="spellEnd"/>
      <w:r w:rsidRPr="00DF633D">
        <w:rPr>
          <w:lang w:val="es-CO"/>
        </w:rPr>
        <w:t xml:space="preserve"> incluyen el diseño de proyectos inclusivos y culturalmente sensibles, el fomento de la confianza, el reconocimiento de los derechos territoriales, el uso del idioma local, el compromiso ético y un apoyo financiero y logístico adecuado que reduzca las barreras de participación. </w:t>
      </w:r>
      <w:r w:rsidRPr="00DF633D">
        <w:rPr>
          <w:b/>
          <w:bCs/>
          <w:lang w:val="es-CO"/>
        </w:rPr>
        <w:t>Los desafíos</w:t>
      </w:r>
      <w:r w:rsidRPr="00DF633D">
        <w:rPr>
          <w:lang w:val="es-CO"/>
        </w:rPr>
        <w:t xml:space="preserve"> surgen de la inseguridad en la tenencia de la tierra, las asimetrías de poder, la inestabilidad política, las rigideces institucionales (por ejemplo, procedimientos específicos) y las limitaciones estacionales o culturales.</w:t>
      </w:r>
    </w:p>
    <w:p w14:paraId="657BEA20" w14:textId="1582F60D" w:rsidR="00DF633D" w:rsidRPr="00DF633D" w:rsidRDefault="00DF633D" w:rsidP="000B37BE">
      <w:pPr>
        <w:pStyle w:val="BfNAufzhlunggrnePunkte"/>
        <w:rPr>
          <w:lang w:val="es-CO"/>
        </w:rPr>
      </w:pPr>
      <w:r w:rsidRPr="00DF633D">
        <w:rPr>
          <w:b/>
          <w:bCs/>
          <w:lang w:val="es-CO"/>
        </w:rPr>
        <w:t>La planificación e implementación</w:t>
      </w:r>
      <w:r w:rsidRPr="00DF633D">
        <w:rPr>
          <w:lang w:val="es-CO"/>
        </w:rPr>
        <w:t xml:space="preserve"> de las </w:t>
      </w:r>
      <w:proofErr w:type="spellStart"/>
      <w:r w:rsidRPr="00DF633D">
        <w:rPr>
          <w:lang w:val="es-CO"/>
        </w:rPr>
        <w:t>SbN</w:t>
      </w:r>
      <w:proofErr w:type="spellEnd"/>
      <w:r w:rsidRPr="00DF633D">
        <w:rPr>
          <w:lang w:val="es-CO"/>
        </w:rPr>
        <w:t xml:space="preserve"> con la debida consideración de la dimensión social puede crear </w:t>
      </w:r>
      <w:r w:rsidRPr="00E52A4B">
        <w:rPr>
          <w:b/>
          <w:bCs/>
          <w:lang w:val="es-CO"/>
        </w:rPr>
        <w:t>un ciclo de retroalimentación que se refuerza a sí mismo</w:t>
      </w:r>
      <w:r w:rsidRPr="00DF633D">
        <w:rPr>
          <w:lang w:val="es-CO"/>
        </w:rPr>
        <w:t>, donde los procesos y enfoques socialmente sólidos garantizan una mayor relevancia, aceptación, eficacia e impacto general de las intervenciones, y los resultados positivos a su vez ayudan a fortalecer la confianza y el compromiso, mejorando tanto la sostenibilidad como la resiliencia frente a la intensificación de los desafíos ambientales y climáticos.</w:t>
      </w:r>
    </w:p>
    <w:p w14:paraId="522FB36F" w14:textId="77777777" w:rsidR="000B37BE" w:rsidRPr="00DF633D" w:rsidRDefault="000B37BE" w:rsidP="000B37BE">
      <w:pPr>
        <w:pStyle w:val="BfNAufzhlunggrnePunkte"/>
        <w:numPr>
          <w:ilvl w:val="0"/>
          <w:numId w:val="0"/>
        </w:numPr>
        <w:ind w:left="360"/>
        <w:rPr>
          <w:lang w:val="es-CO"/>
        </w:rPr>
      </w:pPr>
    </w:p>
    <w:p w14:paraId="1A08C430" w14:textId="77777777" w:rsidR="007E4AFA" w:rsidRPr="00DF633D" w:rsidRDefault="007E4AFA"/>
    <w:sectPr w:rsidR="007E4AFA" w:rsidRPr="00DF63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60594"/>
    <w:multiLevelType w:val="hybridMultilevel"/>
    <w:tmpl w:val="66D8FCC6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787058B"/>
    <w:multiLevelType w:val="multilevel"/>
    <w:tmpl w:val="A6BC2310"/>
    <w:styleLink w:val="BfNListegrnePunkte"/>
    <w:lvl w:ilvl="0">
      <w:start w:val="1"/>
      <w:numFmt w:val="bullet"/>
      <w:pStyle w:val="BfNAufzhlunggrnePunkte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F4761" w:themeColor="accent1" w:themeShade="BF"/>
        <w:sz w:val="22"/>
        <w:u w:val="none" w:color="FF0000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alibri" w:hAnsi="Calibri"/>
        <w:color w:val="009641"/>
      </w:rPr>
    </w:lvl>
    <w:lvl w:ilvl="2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  <w:color w:val="009641"/>
      </w:rPr>
    </w:lvl>
    <w:lvl w:ilvl="3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  <w:color w:val="4EA72E" w:themeColor="accent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5647167">
    <w:abstractNumId w:val="1"/>
    <w:lvlOverride w:ilvl="1">
      <w:lvl w:ilvl="1">
        <w:start w:val="1"/>
        <w:numFmt w:val="bullet"/>
        <w:lvlText w:val="o"/>
        <w:lvlJc w:val="left"/>
        <w:pPr>
          <w:ind w:left="680" w:hanging="340"/>
        </w:pPr>
        <w:rPr>
          <w:rFonts w:ascii="Calibri" w:hAnsi="Calibri"/>
          <w:color w:val="0F4761" w:themeColor="accent1" w:themeShade="BF"/>
        </w:rPr>
      </w:lvl>
    </w:lvlOverride>
  </w:num>
  <w:num w:numId="2" w16cid:durableId="2143574226">
    <w:abstractNumId w:val="1"/>
  </w:num>
  <w:num w:numId="3" w16cid:durableId="188463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BE"/>
    <w:rsid w:val="000B37BE"/>
    <w:rsid w:val="001C47D6"/>
    <w:rsid w:val="00273457"/>
    <w:rsid w:val="003F4A17"/>
    <w:rsid w:val="005B5F8F"/>
    <w:rsid w:val="007E4AFA"/>
    <w:rsid w:val="00881263"/>
    <w:rsid w:val="00C958F0"/>
    <w:rsid w:val="00D5393F"/>
    <w:rsid w:val="00DF633D"/>
    <w:rsid w:val="00E5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9D9E"/>
  <w15:chartTrackingRefBased/>
  <w15:docId w15:val="{D821B7E1-A080-482A-A3C2-57E9A1DF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3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7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7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7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7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7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7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3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3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37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37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37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7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7BE"/>
    <w:rPr>
      <w:b/>
      <w:bCs/>
      <w:smallCaps/>
      <w:color w:val="0F4761" w:themeColor="accent1" w:themeShade="BF"/>
      <w:spacing w:val="5"/>
    </w:rPr>
  </w:style>
  <w:style w:type="paragraph" w:customStyle="1" w:styleId="BfNStandard">
    <w:name w:val="BfN_Standard"/>
    <w:basedOn w:val="Normal"/>
    <w:qFormat/>
    <w:rsid w:val="000B37BE"/>
    <w:pPr>
      <w:autoSpaceDE w:val="0"/>
      <w:autoSpaceDN w:val="0"/>
      <w:adjustRightInd w:val="0"/>
      <w:spacing w:before="60" w:after="120" w:line="300" w:lineRule="exact"/>
      <w:jc w:val="both"/>
    </w:pPr>
    <w:rPr>
      <w:rFonts w:ascii="Calibri" w:eastAsia="Times New Roman" w:hAnsi="Calibri" w:cs="Times New Roman"/>
      <w:color w:val="000000"/>
      <w:kern w:val="0"/>
      <w:lang w:val="en-GB" w:eastAsia="de-DE"/>
      <w14:ligatures w14:val="none"/>
    </w:rPr>
  </w:style>
  <w:style w:type="numbering" w:customStyle="1" w:styleId="BfNListegrnePunkte">
    <w:name w:val="BfN_Liste grüne Punkte"/>
    <w:basedOn w:val="Sinlista"/>
    <w:uiPriority w:val="99"/>
    <w:rsid w:val="000B37BE"/>
    <w:pPr>
      <w:numPr>
        <w:numId w:val="2"/>
      </w:numPr>
    </w:pPr>
  </w:style>
  <w:style w:type="paragraph" w:customStyle="1" w:styleId="BfNAufzhlunggrnePunkte">
    <w:name w:val="BfN_Aufzählung_grüne Punkte"/>
    <w:basedOn w:val="Normal"/>
    <w:uiPriority w:val="2"/>
    <w:qFormat/>
    <w:rsid w:val="000B37BE"/>
    <w:pPr>
      <w:widowControl w:val="0"/>
      <w:numPr>
        <w:numId w:val="1"/>
      </w:numPr>
      <w:tabs>
        <w:tab w:val="left" w:pos="340"/>
      </w:tabs>
      <w:autoSpaceDE w:val="0"/>
      <w:autoSpaceDN w:val="0"/>
      <w:adjustRightInd w:val="0"/>
      <w:spacing w:before="60" w:after="120" w:line="300" w:lineRule="exact"/>
      <w:jc w:val="both"/>
    </w:pPr>
    <w:rPr>
      <w:rFonts w:ascii="Calibri" w:eastAsia="Times New Roman" w:hAnsi="Calibri" w:cs="Times New Roman"/>
      <w:color w:val="000000"/>
      <w:kern w:val="0"/>
      <w:lang w:val="en-GB" w:eastAsia="de-DE"/>
      <w14:ligatures w14:val="none"/>
    </w:rPr>
  </w:style>
  <w:style w:type="paragraph" w:customStyle="1" w:styleId="BfNUeberschrift1oN">
    <w:name w:val="BfN_Ueberschrift 1 oN"/>
    <w:basedOn w:val="Normal"/>
    <w:link w:val="BfNUeberschrift1oNZchn"/>
    <w:uiPriority w:val="1"/>
    <w:qFormat/>
    <w:rsid w:val="000B37BE"/>
    <w:pPr>
      <w:keepNext/>
      <w:keepLines/>
      <w:suppressAutoHyphens/>
      <w:spacing w:after="240" w:line="240" w:lineRule="auto"/>
      <w:contextualSpacing/>
      <w:outlineLvl w:val="0"/>
    </w:pPr>
    <w:rPr>
      <w:rFonts w:ascii="Calibri" w:hAnsi="Calibri"/>
      <w:b/>
      <w:color w:val="0E2841" w:themeColor="text2"/>
      <w:kern w:val="0"/>
      <w:sz w:val="28"/>
      <w:szCs w:val="40"/>
      <w:lang w:val="de-DE"/>
      <w14:ligatures w14:val="none"/>
    </w:rPr>
  </w:style>
  <w:style w:type="character" w:customStyle="1" w:styleId="BfNUeberschrift1oNZchn">
    <w:name w:val="BfN_Ueberschrift 1 oN Zchn"/>
    <w:basedOn w:val="Fuentedeprrafopredeter"/>
    <w:link w:val="BfNUeberschrift1oN"/>
    <w:uiPriority w:val="1"/>
    <w:rsid w:val="000B37BE"/>
    <w:rPr>
      <w:rFonts w:ascii="Calibri" w:hAnsi="Calibri"/>
      <w:b/>
      <w:color w:val="0E2841" w:themeColor="text2"/>
      <w:kern w:val="0"/>
      <w:sz w:val="28"/>
      <w:szCs w:val="40"/>
      <w:lang w:val="de-DE"/>
      <w14:ligatures w14:val="none"/>
    </w:rPr>
  </w:style>
  <w:style w:type="character" w:styleId="Textoennegrita">
    <w:name w:val="Strong"/>
    <w:basedOn w:val="Fuentedeprrafopredeter"/>
    <w:uiPriority w:val="22"/>
    <w:qFormat/>
    <w:rsid w:val="000B3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738</Words>
  <Characters>4706</Characters>
  <Application>Microsoft Office Word</Application>
  <DocSecurity>0</DocSecurity>
  <Lines>78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Ernesto Mancera Pineda</dc:creator>
  <cp:keywords/>
  <dc:description/>
  <cp:lastModifiedBy>Jose Ernesto Mancera Pineda</cp:lastModifiedBy>
  <cp:revision>6</cp:revision>
  <dcterms:created xsi:type="dcterms:W3CDTF">2025-10-04T20:58:00Z</dcterms:created>
  <dcterms:modified xsi:type="dcterms:W3CDTF">2025-10-04T22:24:00Z</dcterms:modified>
</cp:coreProperties>
</file>