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A7FF4" w14:textId="5C9B7D90" w:rsidR="005E3284" w:rsidRDefault="515978E2" w:rsidP="1B59416E">
      <w:pPr>
        <w:bidi/>
        <w:spacing w:after="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lang w:bidi="ar-LB"/>
        </w:rPr>
        <w:t xml:space="preserve">تستند الحلول </w:t>
      </w:r>
      <w:r w:rsidRPr="1B59416E">
        <w:rPr>
          <w:rFonts w:ascii="Times New Roman" w:eastAsia="Times New Roman" w:hAnsi="Times New Roman" w:cs="Times New Roman"/>
          <w:color w:val="000000" w:themeColor="text1"/>
          <w:sz w:val="27"/>
          <w:szCs w:val="27"/>
          <w:rtl/>
        </w:rPr>
        <w:t xml:space="preserve">المبنية </w:t>
      </w:r>
      <w:r w:rsidRPr="1B59416E">
        <w:rPr>
          <w:rFonts w:ascii="Times New Roman" w:eastAsia="Times New Roman" w:hAnsi="Times New Roman" w:cs="Times New Roman"/>
          <w:color w:val="000000" w:themeColor="text1"/>
          <w:sz w:val="27"/>
          <w:szCs w:val="27"/>
          <w:rtl/>
          <w:lang w:bidi="ar-LB"/>
        </w:rPr>
        <w:t xml:space="preserve">على الطبيعة </w:t>
      </w:r>
      <w:r w:rsidRPr="1B59416E">
        <w:rPr>
          <w:rFonts w:ascii="Times New Roman" w:eastAsia="Times New Roman" w:hAnsi="Times New Roman" w:cs="Times New Roman"/>
          <w:color w:val="000000" w:themeColor="text1"/>
          <w:sz w:val="27"/>
          <w:szCs w:val="27"/>
          <w:rtl/>
        </w:rPr>
        <w:t xml:space="preserve">إلى </w:t>
      </w:r>
      <w:r w:rsidRPr="1B59416E">
        <w:rPr>
          <w:rFonts w:ascii="Times New Roman" w:eastAsia="Times New Roman" w:hAnsi="Times New Roman" w:cs="Times New Roman"/>
          <w:color w:val="000000" w:themeColor="text1"/>
          <w:sz w:val="27"/>
          <w:szCs w:val="27"/>
          <w:rtl/>
          <w:lang w:bidi="ar-LB"/>
        </w:rPr>
        <w:t xml:space="preserve">أهمية سلامة النظم البيئية </w:t>
      </w:r>
      <w:r w:rsidRPr="1B59416E">
        <w:rPr>
          <w:rFonts w:ascii="Arial" w:eastAsia="Arial" w:hAnsi="Arial" w:cs="Arial"/>
          <w:color w:val="000000" w:themeColor="text1"/>
          <w:rtl/>
        </w:rPr>
        <w:t>لتعزيز</w:t>
      </w:r>
      <w:r w:rsidRPr="1B59416E">
        <w:rPr>
          <w:rFonts w:ascii="Times New Roman" w:eastAsia="Times New Roman" w:hAnsi="Times New Roman" w:cs="Times New Roman"/>
          <w:color w:val="000000" w:themeColor="text1"/>
          <w:sz w:val="27"/>
          <w:szCs w:val="27"/>
          <w:rtl/>
        </w:rPr>
        <w:t xml:space="preserve"> </w:t>
      </w:r>
      <w:r w:rsidRPr="1B59416E">
        <w:rPr>
          <w:rFonts w:ascii="Times New Roman" w:eastAsia="Times New Roman" w:hAnsi="Times New Roman" w:cs="Times New Roman"/>
          <w:color w:val="000000" w:themeColor="text1"/>
          <w:sz w:val="27"/>
          <w:szCs w:val="27"/>
          <w:rtl/>
          <w:lang w:bidi="ar-LB"/>
        </w:rPr>
        <w:t xml:space="preserve">رفاه الإنسان وكفاءة البنية التحتية، وضمان مستقبل مستقر وغني بالتنوع الحيوي. وتسعى هذه </w:t>
      </w:r>
      <w:r w:rsidRPr="1B59416E">
        <w:rPr>
          <w:rFonts w:ascii="Times New Roman" w:eastAsia="Times New Roman" w:hAnsi="Times New Roman" w:cs="Times New Roman"/>
          <w:color w:val="000000" w:themeColor="text1"/>
          <w:sz w:val="27"/>
          <w:szCs w:val="27"/>
          <w:rtl/>
        </w:rPr>
        <w:t xml:space="preserve">الحلول إلى حماية النظم البيئية وإصلاحها وإدارتها المستدامة لمواجهة </w:t>
      </w:r>
      <w:r w:rsidRPr="1B59416E">
        <w:rPr>
          <w:rFonts w:ascii="Times New Roman" w:eastAsia="Times New Roman" w:hAnsi="Times New Roman" w:cs="Times New Roman"/>
          <w:color w:val="000000" w:themeColor="text1"/>
          <w:sz w:val="27"/>
          <w:szCs w:val="27"/>
          <w:rtl/>
          <w:lang w:bidi="ar-LB"/>
        </w:rPr>
        <w:t>مجموعة من التحديات المجتمعيّة مثل</w:t>
      </w:r>
      <w:r w:rsidRPr="1B59416E">
        <w:rPr>
          <w:rFonts w:ascii="Times New Roman" w:eastAsia="Times New Roman" w:hAnsi="Times New Roman" w:cs="Times New Roman"/>
          <w:color w:val="000000" w:themeColor="text1"/>
          <w:sz w:val="27"/>
          <w:szCs w:val="27"/>
          <w:rtl/>
        </w:rPr>
        <w:t xml:space="preserve"> تغير المناخ، ومخاطر الكوارث، وفقدان التنوع البيولوجي. ولكن، لا </w:t>
      </w:r>
      <w:r w:rsidRPr="1B59416E">
        <w:rPr>
          <w:rFonts w:ascii="Times New Roman" w:eastAsia="Times New Roman" w:hAnsi="Times New Roman" w:cs="Times New Roman"/>
          <w:color w:val="000000" w:themeColor="text1"/>
          <w:sz w:val="27"/>
          <w:szCs w:val="27"/>
          <w:rtl/>
          <w:lang w:bidi="ar-LB"/>
        </w:rPr>
        <w:t>ت</w:t>
      </w:r>
      <w:r w:rsidRPr="1B59416E">
        <w:rPr>
          <w:rFonts w:ascii="Times New Roman" w:eastAsia="Times New Roman" w:hAnsi="Times New Roman" w:cs="Times New Roman"/>
          <w:color w:val="000000" w:themeColor="text1"/>
          <w:sz w:val="27"/>
          <w:szCs w:val="27"/>
          <w:rtl/>
        </w:rPr>
        <w:t xml:space="preserve">زال </w:t>
      </w:r>
      <w:r w:rsidRPr="1B59416E">
        <w:rPr>
          <w:rFonts w:ascii="Times New Roman" w:eastAsia="Times New Roman" w:hAnsi="Times New Roman" w:cs="Times New Roman"/>
          <w:color w:val="000000" w:themeColor="text1"/>
          <w:sz w:val="27"/>
          <w:szCs w:val="27"/>
          <w:rtl/>
          <w:lang w:bidi="ar-LB"/>
        </w:rPr>
        <w:t xml:space="preserve">الحلول </w:t>
      </w:r>
      <w:r w:rsidRPr="1B59416E">
        <w:rPr>
          <w:rFonts w:ascii="Times New Roman" w:eastAsia="Times New Roman" w:hAnsi="Times New Roman" w:cs="Times New Roman"/>
          <w:color w:val="000000" w:themeColor="text1"/>
          <w:sz w:val="27"/>
          <w:szCs w:val="27"/>
          <w:rtl/>
        </w:rPr>
        <w:t xml:space="preserve">المبنية </w:t>
      </w:r>
      <w:r w:rsidRPr="1B59416E">
        <w:rPr>
          <w:rFonts w:ascii="Times New Roman" w:eastAsia="Times New Roman" w:hAnsi="Times New Roman" w:cs="Times New Roman"/>
          <w:color w:val="000000" w:themeColor="text1"/>
          <w:sz w:val="27"/>
          <w:szCs w:val="27"/>
          <w:rtl/>
          <w:lang w:bidi="ar-LB"/>
        </w:rPr>
        <w:t>على الطبيعة تواجه العديد من العقبات التشغيلية، كما لا يزال</w:t>
      </w:r>
      <w:r w:rsidRPr="1B59416E">
        <w:rPr>
          <w:rFonts w:ascii="Times New Roman" w:eastAsia="Times New Roman" w:hAnsi="Times New Roman" w:cs="Times New Roman"/>
          <w:color w:val="000000" w:themeColor="text1"/>
          <w:sz w:val="27"/>
          <w:szCs w:val="27"/>
          <w:rtl/>
        </w:rPr>
        <w:t xml:space="preserve"> بعدها الاجتماعي مُهمَلاً رغم فوائد ها المتعددة الجوانب وفعاليتها من حيث التكلفة، مما يطرح تحديات أمام تنفيذها بشكل عادل وشامل للجميع. يستخلص هذا التقرير التوجيهي الدروس المستفادة من أبحاث وممارسات تستخدم </w:t>
      </w:r>
      <w:r w:rsidRPr="1B59416E">
        <w:rPr>
          <w:rFonts w:ascii="Times New Roman" w:eastAsia="Times New Roman" w:hAnsi="Times New Roman" w:cs="Times New Roman"/>
          <w:color w:val="000000" w:themeColor="text1"/>
          <w:sz w:val="27"/>
          <w:szCs w:val="27"/>
          <w:rtl/>
          <w:lang w:bidi="ar-LB"/>
        </w:rPr>
        <w:t xml:space="preserve">الحلول </w:t>
      </w:r>
      <w:r w:rsidRPr="1B59416E">
        <w:rPr>
          <w:rFonts w:ascii="Times New Roman" w:eastAsia="Times New Roman" w:hAnsi="Times New Roman" w:cs="Times New Roman"/>
          <w:color w:val="000000" w:themeColor="text1"/>
          <w:sz w:val="27"/>
          <w:szCs w:val="27"/>
          <w:rtl/>
        </w:rPr>
        <w:t xml:space="preserve">المبنية </w:t>
      </w:r>
      <w:r w:rsidRPr="1B59416E">
        <w:rPr>
          <w:rFonts w:ascii="Times New Roman" w:eastAsia="Times New Roman" w:hAnsi="Times New Roman" w:cs="Times New Roman"/>
          <w:color w:val="000000" w:themeColor="text1"/>
          <w:sz w:val="27"/>
          <w:szCs w:val="27"/>
          <w:rtl/>
          <w:lang w:bidi="ar-LB"/>
        </w:rPr>
        <w:t>على الطبيعة</w:t>
      </w:r>
      <w:r w:rsidRPr="1B59416E">
        <w:rPr>
          <w:rFonts w:ascii="Times New Roman" w:eastAsia="Times New Roman" w:hAnsi="Times New Roman" w:cs="Times New Roman"/>
          <w:color w:val="000000" w:themeColor="text1"/>
          <w:sz w:val="27"/>
          <w:szCs w:val="27"/>
          <w:rtl/>
        </w:rPr>
        <w:t xml:space="preserve">، بهدف إلهام جميع العاملين في هذا المجال وتمكينهم للمضيّ نحو مستقبل مستدام وعادل اجتماعياً. ويقدّم إطارًا نظريًا وعمليًا لتحديد البعد الاجتماعي للحلول المبنية </w:t>
      </w:r>
      <w:r w:rsidRPr="1B59416E">
        <w:rPr>
          <w:rFonts w:ascii="Times New Roman" w:eastAsia="Times New Roman" w:hAnsi="Times New Roman" w:cs="Times New Roman"/>
          <w:color w:val="000000" w:themeColor="text1"/>
          <w:sz w:val="27"/>
          <w:szCs w:val="27"/>
          <w:rtl/>
          <w:lang w:bidi="ar-LB"/>
        </w:rPr>
        <w:t>على الطبيعة</w:t>
      </w:r>
      <w:r w:rsidRPr="1B59416E">
        <w:rPr>
          <w:rFonts w:ascii="Times New Roman" w:eastAsia="Times New Roman" w:hAnsi="Times New Roman" w:cs="Times New Roman"/>
          <w:color w:val="000000" w:themeColor="text1"/>
          <w:sz w:val="27"/>
          <w:szCs w:val="27"/>
          <w:rtl/>
        </w:rPr>
        <w:t xml:space="preserve"> وفهمه ب</w:t>
      </w:r>
      <w:r w:rsidRPr="1B59416E">
        <w:rPr>
          <w:rFonts w:ascii="Times New Roman" w:eastAsia="Times New Roman" w:hAnsi="Times New Roman" w:cs="Times New Roman"/>
          <w:color w:val="000000" w:themeColor="text1"/>
          <w:sz w:val="27"/>
          <w:szCs w:val="27"/>
          <w:rtl/>
          <w:lang w:bidi="ar-LB"/>
        </w:rPr>
        <w:t>صورة</w:t>
      </w:r>
      <w:r w:rsidRPr="1B59416E">
        <w:rPr>
          <w:rFonts w:ascii="Times New Roman" w:eastAsia="Times New Roman" w:hAnsi="Times New Roman" w:cs="Times New Roman"/>
          <w:color w:val="000000" w:themeColor="text1"/>
          <w:sz w:val="27"/>
          <w:szCs w:val="27"/>
          <w:rtl/>
        </w:rPr>
        <w:t xml:space="preserve"> أعمق، ودعم مبادئ الحماية الاجتماعية، ويشجّع بشكل خاص تصميم هذه الحلول وتنفيذها بطريقة تشاركية وعابرة للتخصصات، بما يعزّز فوائدها المجتمعية.</w:t>
      </w:r>
    </w:p>
    <w:p w14:paraId="04703C5D" w14:textId="58B072F4" w:rsidR="005E3284" w:rsidRDefault="515978E2" w:rsidP="1B59416E">
      <w:pPr>
        <w:bidi/>
        <w:spacing w:after="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 xml:space="preserve"> يحدد مشروع  </w:t>
      </w:r>
      <w:r w:rsidRPr="1B59416E">
        <w:rPr>
          <w:rFonts w:ascii="Times New Roman" w:eastAsia="Times New Roman" w:hAnsi="Times New Roman" w:cs="Times New Roman"/>
          <w:color w:val="000000" w:themeColor="text1"/>
          <w:sz w:val="27"/>
          <w:szCs w:val="27"/>
        </w:rPr>
        <w:t>BioClimSocial</w:t>
      </w:r>
      <w:r w:rsidRPr="1B59416E">
        <w:rPr>
          <w:rFonts w:ascii="Times New Roman" w:eastAsia="Times New Roman" w:hAnsi="Times New Roman" w:cs="Times New Roman"/>
          <w:color w:val="000000" w:themeColor="text1"/>
          <w:sz w:val="27"/>
          <w:szCs w:val="27"/>
          <w:rtl/>
        </w:rPr>
        <w:t xml:space="preserve"> البعد الاجتماعي للحلول المبنية على الطبيعة كما يلي: العملية والمبادئ التي يتمّ من خلالها دمج الديناميات الاجتماعية في مختلف مراحل المشروع، فضلاً عن الآثار أو النتائج الاجتماعية الناتجة عن هذه الانشطة.</w:t>
      </w:r>
    </w:p>
    <w:p w14:paraId="5973753C" w14:textId="0BE2CC46" w:rsidR="005E3284" w:rsidRDefault="005E3284" w:rsidP="1B59416E">
      <w:pPr>
        <w:bidi/>
        <w:spacing w:after="0"/>
        <w:jc w:val="both"/>
        <w:rPr>
          <w:rFonts w:ascii="Times New Roman" w:eastAsia="Times New Roman" w:hAnsi="Times New Roman" w:cs="Times New Roman"/>
          <w:color w:val="000000" w:themeColor="text1"/>
          <w:sz w:val="27"/>
          <w:szCs w:val="27"/>
        </w:rPr>
      </w:pPr>
    </w:p>
    <w:p w14:paraId="3C1A4EB4" w14:textId="3D94404B" w:rsidR="005E3284" w:rsidRDefault="515978E2" w:rsidP="1B59416E">
      <w:pPr>
        <w:bidi/>
        <w:spacing w:after="0"/>
        <w:ind w:right="630" w:hanging="36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الدروس المستخلصة الرئيسية هي:</w:t>
      </w:r>
    </w:p>
    <w:p w14:paraId="316AEAEF" w14:textId="4A549528" w:rsidR="005E3284" w:rsidRDefault="005E3284" w:rsidP="1B59416E">
      <w:pPr>
        <w:bidi/>
        <w:spacing w:after="0"/>
        <w:ind w:right="630" w:hanging="360"/>
        <w:jc w:val="both"/>
        <w:rPr>
          <w:rFonts w:ascii="Times New Roman" w:eastAsia="Times New Roman" w:hAnsi="Times New Roman" w:cs="Times New Roman"/>
          <w:color w:val="000000" w:themeColor="text1"/>
          <w:sz w:val="27"/>
          <w:szCs w:val="27"/>
        </w:rPr>
      </w:pPr>
    </w:p>
    <w:p w14:paraId="7056C165" w14:textId="3CCF7F7C"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bookmarkStart w:id="0" w:name="_GoBack"/>
      <w:bookmarkEnd w:id="0"/>
      <w:r w:rsidRPr="1B59416E">
        <w:rPr>
          <w:rFonts w:ascii="Times New Roman" w:eastAsia="Times New Roman" w:hAnsi="Times New Roman" w:cs="Times New Roman"/>
          <w:color w:val="000000" w:themeColor="text1"/>
          <w:sz w:val="27"/>
          <w:szCs w:val="27"/>
          <w:rtl/>
        </w:rPr>
        <w:t>من ال</w:t>
      </w:r>
      <w:r w:rsidRPr="1B59416E">
        <w:rPr>
          <w:rFonts w:ascii="Times New Roman" w:eastAsia="Times New Roman" w:hAnsi="Times New Roman" w:cs="Times New Roman"/>
          <w:color w:val="000000" w:themeColor="text1"/>
          <w:sz w:val="27"/>
          <w:szCs w:val="27"/>
          <w:rtl/>
          <w:lang w:bidi="ar-LB"/>
        </w:rPr>
        <w:t xml:space="preserve">ضروري </w:t>
      </w:r>
      <w:r w:rsidRPr="1B59416E">
        <w:rPr>
          <w:rFonts w:ascii="Times New Roman" w:eastAsia="Times New Roman" w:hAnsi="Times New Roman" w:cs="Times New Roman"/>
          <w:color w:val="000000" w:themeColor="text1"/>
          <w:sz w:val="27"/>
          <w:szCs w:val="27"/>
          <w:rtl/>
        </w:rPr>
        <w:t xml:space="preserve">مراعاة البعد الاجتماعي في أي مشروع يعتمد الحلول المبنية على الطبيعة من خلال: تحديد احتياجات جميع </w:t>
      </w:r>
      <w:r w:rsidRPr="1B59416E">
        <w:rPr>
          <w:rFonts w:ascii="Times New Roman" w:eastAsia="Times New Roman" w:hAnsi="Times New Roman" w:cs="Times New Roman"/>
          <w:color w:val="000000" w:themeColor="text1"/>
          <w:sz w:val="27"/>
          <w:szCs w:val="27"/>
          <w:rtl/>
          <w:lang w:bidi="ar-LB"/>
        </w:rPr>
        <w:t>الأطراف المعنية</w:t>
      </w:r>
      <w:r w:rsidRPr="1B59416E">
        <w:rPr>
          <w:rFonts w:ascii="Times New Roman" w:eastAsia="Times New Roman" w:hAnsi="Times New Roman" w:cs="Times New Roman"/>
          <w:color w:val="000000" w:themeColor="text1"/>
          <w:sz w:val="27"/>
          <w:szCs w:val="27"/>
          <w:rtl/>
        </w:rPr>
        <w:t xml:space="preserve"> وأولوياتهم وتلبيتها، وضمان التوزيع العادل للفوائد. إذ إنّ إهمال هذا البعد قد يُقوّض النتائج الاجتماعية للحلول المبنية على الطبيعة ويعرّض استدامة المشروع على المدى الطويل للخطر.</w:t>
      </w:r>
    </w:p>
    <w:p w14:paraId="30658E4B" w14:textId="035FD0F1"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08CA9C65" w14:textId="454F4B2A"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العمليات والمبادئ الأساسية التي توجّه مسار الحلول المبنية على الطبيعة تشمل: الاعتراف بتنوع وجهات النظر و</w:t>
      </w:r>
      <w:r w:rsidRPr="1B59416E">
        <w:rPr>
          <w:rFonts w:ascii="Times New Roman" w:eastAsia="Times New Roman" w:hAnsi="Times New Roman" w:cs="Times New Roman"/>
          <w:color w:val="000000" w:themeColor="text1"/>
          <w:sz w:val="27"/>
          <w:szCs w:val="27"/>
          <w:rtl/>
          <w:lang w:bidi="ar-LB"/>
        </w:rPr>
        <w:t>الأطراف المعنية</w:t>
      </w:r>
      <w:r w:rsidRPr="1B59416E">
        <w:rPr>
          <w:rFonts w:ascii="Times New Roman" w:eastAsia="Times New Roman" w:hAnsi="Times New Roman" w:cs="Times New Roman"/>
          <w:color w:val="000000" w:themeColor="text1"/>
          <w:sz w:val="27"/>
          <w:szCs w:val="27"/>
          <w:rtl/>
        </w:rPr>
        <w:t>، واتّباع نهج قائم على الحقوق، وضمان العدالة والإنصاف وسهولة الوصول، ودمج أنظمة المعرفة المختلفة، وفهم السياق الثقافي والشبكات الاجتماعية، والسعي إلى إرساء حوكمة تشاركية وتواصل فعال يقوم على الندّيّة والاحترام المتبادل.</w:t>
      </w:r>
    </w:p>
    <w:p w14:paraId="57C8C4C7" w14:textId="2A7E0E36"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3146708F" w14:textId="1C8C6C47"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المنافع الاجتماعية المشتركة التي يمكن تحقيقها عند تصميم الحلول المبنية على الطبيعة وتنفيذها، بما يتماشى مع المبادئ المذكورة أعلاه تشمل: المساهمة في تحسين رفاه الفرد والمجتمع، وتحسين نوعية الحياة، وتعزيز المساواة وقدرة المجتمع على الصمود، وتوفير الفرص المالية والاقتصادية، وتحسين أمن حيازة الأراضي، وترسيخ قيمة المعرفة التقليدية والمحلية، وتعميق الروابط بين الإنسان والطبيعة، وتحسين عمليات صنع القرار المحلي.</w:t>
      </w:r>
    </w:p>
    <w:p w14:paraId="63A5B139" w14:textId="4C209ACB"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7F2C36C3" w14:textId="3A0D198B"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 xml:space="preserve">قد تنشأ عواقب اجتماعية سلبية أو مفاضلات في أيّ مرحلة من مراحل الحلول المبنية على الطبيعة وذلك عندما لا يؤخَذ السياق الاجتماعي لهذه الحلول في الاعتبار أو تُهمَل مبادئها الاجتماعية الأساسية. وتشمل </w:t>
      </w:r>
      <w:r w:rsidRPr="1B59416E">
        <w:rPr>
          <w:rFonts w:ascii="Times New Roman" w:eastAsia="Times New Roman" w:hAnsi="Times New Roman" w:cs="Times New Roman"/>
          <w:color w:val="000000" w:themeColor="text1"/>
          <w:sz w:val="27"/>
          <w:szCs w:val="27"/>
          <w:rtl/>
        </w:rPr>
        <w:lastRenderedPageBreak/>
        <w:t xml:space="preserve">هذه العواقب ترسيخ أوجه عدم المساواة الاجتماعية، واندلاع الصراعات على استخدام الأراضي، ووقوع خسائر اقتصادية مؤقتة أو محلية، </w:t>
      </w:r>
      <w:r w:rsidRPr="1B59416E">
        <w:rPr>
          <w:rFonts w:ascii="Times New Roman" w:eastAsia="Times New Roman" w:hAnsi="Times New Roman" w:cs="Times New Roman"/>
          <w:color w:val="000000" w:themeColor="text1"/>
          <w:sz w:val="27"/>
          <w:szCs w:val="27"/>
          <w:rtl/>
          <w:lang w:bidi="ar-LB"/>
        </w:rPr>
        <w:t xml:space="preserve">ممّا يفرض ضغوطًا على </w:t>
      </w:r>
      <w:r w:rsidRPr="1B59416E">
        <w:rPr>
          <w:rFonts w:ascii="Times New Roman" w:eastAsia="Times New Roman" w:hAnsi="Times New Roman" w:cs="Times New Roman"/>
          <w:color w:val="000000" w:themeColor="text1"/>
          <w:sz w:val="27"/>
          <w:szCs w:val="27"/>
          <w:rtl/>
        </w:rPr>
        <w:t>الديناميات الاجتماعية.</w:t>
      </w:r>
    </w:p>
    <w:p w14:paraId="57C4E402" w14:textId="0B300E6E"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1F5CB1D7" w14:textId="5DACF9F8"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تزداد احتمالات تحقيق نتائج اجتماعية إيجابية عند تطبيق حلول مبنية على الطبيعة تستند إلى مناهج شاملة وتشاركية تراعي خصوصية السياق. ويفترض المنظور متعدد التخصصات للحلول المبنيّة على الطبيعة الإقرارَ بتنوّع الاهتمامات والتصورات والقيم وأنظمة المعرفة، ودمجها، من خلال عمليات تعاونية تُشرك مجموعةً واسعةً من الجهات الفاعلة و</w:t>
      </w:r>
      <w:r w:rsidRPr="1B59416E">
        <w:rPr>
          <w:rFonts w:ascii="Times New Roman" w:eastAsia="Times New Roman" w:hAnsi="Times New Roman" w:cs="Times New Roman"/>
          <w:color w:val="000000" w:themeColor="text1"/>
          <w:sz w:val="27"/>
          <w:szCs w:val="27"/>
          <w:rtl/>
          <w:lang w:bidi="ar-LB"/>
        </w:rPr>
        <w:t>الأطراف المعنية</w:t>
      </w:r>
      <w:r w:rsidRPr="1B59416E">
        <w:rPr>
          <w:rFonts w:ascii="Times New Roman" w:eastAsia="Times New Roman" w:hAnsi="Times New Roman" w:cs="Times New Roman"/>
          <w:color w:val="000000" w:themeColor="text1"/>
          <w:sz w:val="27"/>
          <w:szCs w:val="27"/>
          <w:rtl/>
        </w:rPr>
        <w:t xml:space="preserve"> في جميع مراحل المشروع.</w:t>
      </w:r>
    </w:p>
    <w:p w14:paraId="4F0799FC" w14:textId="05F183AF"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002F15DE" w14:textId="5A4C4E11"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تشترط الممارسات التي تؤدّي إلى تحقيق نتائج اجتماعية إيجابية في مجال الحلول المبنية على الطبيعة وجودَ توجيه مناسب يشمل أطر عمل وأدوات ومنهجيات تستند إلى أبحاث اجتماعية-بيئية رصينة، وملاحظات واقعية، ودروس مستفادة من دراسات الحالة، ورؤى الجهات الفاعلة و</w:t>
      </w:r>
      <w:r w:rsidRPr="1B59416E">
        <w:rPr>
          <w:rFonts w:ascii="Times New Roman" w:eastAsia="Times New Roman" w:hAnsi="Times New Roman" w:cs="Times New Roman"/>
          <w:color w:val="000000" w:themeColor="text1"/>
          <w:sz w:val="27"/>
          <w:szCs w:val="27"/>
          <w:rtl/>
          <w:lang w:bidi="ar-LB"/>
        </w:rPr>
        <w:t>الأطراف المعنية</w:t>
      </w:r>
      <w:r w:rsidRPr="1B59416E">
        <w:rPr>
          <w:rFonts w:ascii="Times New Roman" w:eastAsia="Times New Roman" w:hAnsi="Times New Roman" w:cs="Times New Roman"/>
          <w:color w:val="000000" w:themeColor="text1"/>
          <w:sz w:val="27"/>
          <w:szCs w:val="27"/>
          <w:rtl/>
        </w:rPr>
        <w:t xml:space="preserve">. وقد تناولت بعض الدراسات العلمية، ولا سيّما الأدبيات غير الرسمية ، جوانب متعدّدة من البعد الاجتماعي للحلول المبنية </w:t>
      </w:r>
      <w:r w:rsidRPr="1B59416E">
        <w:rPr>
          <w:rFonts w:ascii="Times New Roman" w:eastAsia="Times New Roman" w:hAnsi="Times New Roman" w:cs="Times New Roman"/>
          <w:color w:val="000000" w:themeColor="text1"/>
          <w:sz w:val="27"/>
          <w:szCs w:val="27"/>
          <w:rtl/>
          <w:lang w:bidi="ar-LB"/>
        </w:rPr>
        <w:t>على الطبيعة</w:t>
      </w:r>
      <w:r w:rsidRPr="1B59416E">
        <w:rPr>
          <w:rFonts w:ascii="Times New Roman" w:eastAsia="Times New Roman" w:hAnsi="Times New Roman" w:cs="Times New Roman"/>
          <w:color w:val="000000" w:themeColor="text1"/>
          <w:sz w:val="27"/>
          <w:szCs w:val="27"/>
          <w:rtl/>
        </w:rPr>
        <w:t>، إلا أن فجوات كبيرة في المعرفة والتطبيق لا تزال قائمة.</w:t>
      </w:r>
    </w:p>
    <w:p w14:paraId="2300F5BF" w14:textId="0990D9D4"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3A3E079E" w14:textId="4513ADA0"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 xml:space="preserve">تستند عمليات المشاركة في الحلول المبنية على الطبيعة إلى تحديد </w:t>
      </w:r>
      <w:r w:rsidRPr="1B59416E">
        <w:rPr>
          <w:rFonts w:ascii="Times New Roman" w:eastAsia="Times New Roman" w:hAnsi="Times New Roman" w:cs="Times New Roman"/>
          <w:color w:val="000000" w:themeColor="text1"/>
          <w:sz w:val="27"/>
          <w:szCs w:val="27"/>
          <w:rtl/>
          <w:lang w:bidi="ar-LB"/>
        </w:rPr>
        <w:t>الأطراف المعنية</w:t>
      </w:r>
      <w:r w:rsidRPr="1B59416E">
        <w:rPr>
          <w:rFonts w:ascii="Times New Roman" w:eastAsia="Times New Roman" w:hAnsi="Times New Roman" w:cs="Times New Roman"/>
          <w:color w:val="000000" w:themeColor="text1"/>
          <w:sz w:val="27"/>
          <w:szCs w:val="27"/>
          <w:rtl/>
        </w:rPr>
        <w:t>، ووضع أطر عمل شفافة وأخلاقية للمشروعات تراعي مبادئ الحماية، وتقييم العوامل الأساسية التي تؤثر على المشاركة الفعّالة مثل الوضع السياسي. كما تشمل تحديد الأساليب المناسبة وتطبيقها (مثل جلسة مجموعة تركيز أو ورش عمل تشاركية) لتعزيز عملية تجميع المعارف والتقدّم نحو إنتاج المعرفة بصورة مشتركة. وفي هذا الإطار، يسهم إرساء تواصل شفاف ومرن، بالإضافة إلى اعتماد المراقبة التأمليّة، في توجيه العملية وضمان سيرها بفعالية.</w:t>
      </w:r>
    </w:p>
    <w:p w14:paraId="49678799" w14:textId="45ED302B"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7C78C20C" w14:textId="19803E84"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تشمل العوامل التي تيسّر التعددية التخصصية في الحلول المبنية على الطبيعة تصميم مشاريع شاملة تراعي الخصوصيات الثقافية، وبناء الثقة، والاعتراف بحقوق الأراضي، واستخدام لغات الشعوب الأصلية واللغات المحلية، والالتزام الأخلاقي، وتوفير الدعم المالي واللوجستي المناسب الذي يحدّ من عوائق المشاركة. أمّا التحديات فتنشأ من انعدام الأمن في حيازة الأراضي، واختلال موازين القوى، وعدم الاستقرار السياسي، والجمود المؤسساتي (مثل الإجراءات المقيّدة)، والقيود الموسمية أو الثقافية.</w:t>
      </w:r>
    </w:p>
    <w:p w14:paraId="0C094EEB" w14:textId="2C569A53" w:rsidR="005E3284" w:rsidRDefault="005E3284" w:rsidP="1B59416E">
      <w:pPr>
        <w:bidi/>
        <w:spacing w:after="0"/>
        <w:ind w:right="630"/>
        <w:jc w:val="both"/>
        <w:rPr>
          <w:rFonts w:ascii="Times New Roman" w:eastAsia="Times New Roman" w:hAnsi="Times New Roman" w:cs="Times New Roman"/>
          <w:color w:val="000000" w:themeColor="text1"/>
          <w:sz w:val="27"/>
          <w:szCs w:val="27"/>
        </w:rPr>
      </w:pPr>
    </w:p>
    <w:p w14:paraId="00C0AC1B" w14:textId="30FC4819" w:rsidR="005E3284" w:rsidRDefault="515978E2" w:rsidP="1B59416E">
      <w:pPr>
        <w:pStyle w:val="ListParagraph"/>
        <w:numPr>
          <w:ilvl w:val="0"/>
          <w:numId w:val="1"/>
        </w:numPr>
        <w:bidi/>
        <w:spacing w:after="0"/>
        <w:ind w:left="0" w:right="630"/>
        <w:jc w:val="both"/>
        <w:rPr>
          <w:rFonts w:ascii="Times New Roman" w:eastAsia="Times New Roman" w:hAnsi="Times New Roman" w:cs="Times New Roman"/>
          <w:color w:val="000000" w:themeColor="text1"/>
          <w:sz w:val="27"/>
          <w:szCs w:val="27"/>
        </w:rPr>
      </w:pPr>
      <w:r w:rsidRPr="1B59416E">
        <w:rPr>
          <w:rFonts w:ascii="Times New Roman" w:eastAsia="Times New Roman" w:hAnsi="Times New Roman" w:cs="Times New Roman"/>
          <w:color w:val="000000" w:themeColor="text1"/>
          <w:sz w:val="27"/>
          <w:szCs w:val="27"/>
          <w:rtl/>
        </w:rPr>
        <w:t>تخطيط وتنفيذ الحلول المبنية على الطبيعة التي تراعي البعد الاجتماعي بشكل صحيح قد يساهم في إنشاء حلقة تفاعلية وذاتية التعزيز. فت</w:t>
      </w:r>
      <w:r w:rsidRPr="1B59416E">
        <w:rPr>
          <w:rFonts w:ascii="Times New Roman" w:eastAsia="Times New Roman" w:hAnsi="Times New Roman" w:cs="Times New Roman"/>
          <w:color w:val="000000" w:themeColor="text1"/>
          <w:sz w:val="27"/>
          <w:szCs w:val="27"/>
          <w:rtl/>
          <w:lang w:bidi="ar-LB"/>
        </w:rPr>
        <w:t xml:space="preserve">ؤدّي </w:t>
      </w:r>
      <w:r w:rsidRPr="1B59416E">
        <w:rPr>
          <w:rFonts w:ascii="Times New Roman" w:eastAsia="Times New Roman" w:hAnsi="Times New Roman" w:cs="Times New Roman"/>
          <w:color w:val="000000" w:themeColor="text1"/>
          <w:sz w:val="27"/>
          <w:szCs w:val="27"/>
          <w:rtl/>
        </w:rPr>
        <w:t>العمليات والنُّهج السليمة اجتماعياً إلى تدخلات أكثر قبولًا وفعالية بشكل عام. فتساعد النتائج الإيجابية في تعزيز الثقة والمشاركة، مما يحسّن الاستدامة والقدرة على الصمود في مواجهة فقدان التنوع البيولوجي وتغيّر المناخ.</w:t>
      </w:r>
    </w:p>
    <w:p w14:paraId="2C078E63" w14:textId="609BC339" w:rsidR="005E3284" w:rsidRDefault="005E3284"/>
    <w:sectPr w:rsidR="005E3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D8BED"/>
    <w:multiLevelType w:val="hybridMultilevel"/>
    <w:tmpl w:val="4E76946A"/>
    <w:lvl w:ilvl="0" w:tplc="04090001">
      <w:start w:val="1"/>
      <w:numFmt w:val="bullet"/>
      <w:lvlText w:val=""/>
      <w:lvlJc w:val="left"/>
      <w:pPr>
        <w:ind w:left="720" w:hanging="360"/>
      </w:pPr>
      <w:rPr>
        <w:rFonts w:ascii="Symbol" w:hAnsi="Symbol" w:hint="default"/>
      </w:rPr>
    </w:lvl>
    <w:lvl w:ilvl="1" w:tplc="A12A7560">
      <w:start w:val="1"/>
      <w:numFmt w:val="bullet"/>
      <w:lvlText w:val="o"/>
      <w:lvlJc w:val="left"/>
      <w:pPr>
        <w:ind w:left="1440" w:hanging="360"/>
      </w:pPr>
      <w:rPr>
        <w:rFonts w:ascii="Courier New" w:hAnsi="Courier New" w:hint="default"/>
      </w:rPr>
    </w:lvl>
    <w:lvl w:ilvl="2" w:tplc="64C09C08">
      <w:start w:val="1"/>
      <w:numFmt w:val="bullet"/>
      <w:lvlText w:val=""/>
      <w:lvlJc w:val="left"/>
      <w:pPr>
        <w:ind w:left="2160" w:hanging="360"/>
      </w:pPr>
      <w:rPr>
        <w:rFonts w:ascii="Wingdings" w:hAnsi="Wingdings" w:hint="default"/>
      </w:rPr>
    </w:lvl>
    <w:lvl w:ilvl="3" w:tplc="80407ED6">
      <w:start w:val="1"/>
      <w:numFmt w:val="bullet"/>
      <w:lvlText w:val=""/>
      <w:lvlJc w:val="left"/>
      <w:pPr>
        <w:ind w:left="2880" w:hanging="360"/>
      </w:pPr>
      <w:rPr>
        <w:rFonts w:ascii="Symbol" w:hAnsi="Symbol" w:hint="default"/>
      </w:rPr>
    </w:lvl>
    <w:lvl w:ilvl="4" w:tplc="351E27DE">
      <w:start w:val="1"/>
      <w:numFmt w:val="bullet"/>
      <w:lvlText w:val="o"/>
      <w:lvlJc w:val="left"/>
      <w:pPr>
        <w:ind w:left="3600" w:hanging="360"/>
      </w:pPr>
      <w:rPr>
        <w:rFonts w:ascii="Courier New" w:hAnsi="Courier New" w:hint="default"/>
      </w:rPr>
    </w:lvl>
    <w:lvl w:ilvl="5" w:tplc="C5665CB2">
      <w:start w:val="1"/>
      <w:numFmt w:val="bullet"/>
      <w:lvlText w:val=""/>
      <w:lvlJc w:val="left"/>
      <w:pPr>
        <w:ind w:left="4320" w:hanging="360"/>
      </w:pPr>
      <w:rPr>
        <w:rFonts w:ascii="Wingdings" w:hAnsi="Wingdings" w:hint="default"/>
      </w:rPr>
    </w:lvl>
    <w:lvl w:ilvl="6" w:tplc="A5C282D2">
      <w:start w:val="1"/>
      <w:numFmt w:val="bullet"/>
      <w:lvlText w:val=""/>
      <w:lvlJc w:val="left"/>
      <w:pPr>
        <w:ind w:left="5040" w:hanging="360"/>
      </w:pPr>
      <w:rPr>
        <w:rFonts w:ascii="Symbol" w:hAnsi="Symbol" w:hint="default"/>
      </w:rPr>
    </w:lvl>
    <w:lvl w:ilvl="7" w:tplc="35AC5414">
      <w:start w:val="1"/>
      <w:numFmt w:val="bullet"/>
      <w:lvlText w:val="o"/>
      <w:lvlJc w:val="left"/>
      <w:pPr>
        <w:ind w:left="5760" w:hanging="360"/>
      </w:pPr>
      <w:rPr>
        <w:rFonts w:ascii="Courier New" w:hAnsi="Courier New" w:hint="default"/>
      </w:rPr>
    </w:lvl>
    <w:lvl w:ilvl="8" w:tplc="1DF47C9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3FA4D1"/>
    <w:rsid w:val="005E3284"/>
    <w:rsid w:val="00E105DA"/>
    <w:rsid w:val="1B59416E"/>
    <w:rsid w:val="515978E2"/>
    <w:rsid w:val="5B3FA4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F78A"/>
  <w15:chartTrackingRefBased/>
  <w15:docId w15:val="{69D78D99-6C8A-4C69-89D0-DDAEC845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B59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Bassil</dc:creator>
  <cp:keywords/>
  <dc:description/>
  <cp:lastModifiedBy>Nour Bassil (Alumni)</cp:lastModifiedBy>
  <cp:revision>2</cp:revision>
  <dcterms:created xsi:type="dcterms:W3CDTF">2026-03-10T07:15:00Z</dcterms:created>
  <dcterms:modified xsi:type="dcterms:W3CDTF">2026-03-10T07:21:00Z</dcterms:modified>
</cp:coreProperties>
</file>